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0069B8"/>
          <w:sz w:val="40"/>
        </w:rPr>
        <w:t>SUPPLIER SCORECARD TEMPLATE</w:t>
      </w:r>
    </w:p>
    <w:p>
      <w:pPr>
        <w:jc w:val="center"/>
      </w:pPr>
      <w:r>
        <w:rPr>
          <w:i/>
          <w:sz w:val="22"/>
        </w:rPr>
        <w:t>How to use the Excel / Google Sheets workbook</w:t>
      </w:r>
    </w:p>
    <w:p>
      <w:r>
        <w:t>This guide explains how to use the supplier scorecard to review service performance, contractual commitments, compliance, remediation, and continuous improvement. It is designed as a practical starting point and should be tailored to the supplier relationship.</w:t>
      </w:r>
    </w:p>
    <w:p>
      <w:pPr>
        <w:pStyle w:val="Heading1"/>
      </w:pPr>
      <w:r>
        <w:t>1. Complete the supplier context</w:t>
      </w:r>
    </w:p>
    <w:p>
      <w:r>
        <w:t>On the Dashboard tab, enter the supplier name, service or contract, business owner, and review period. Use a separate workbook copy for each supplier and review cycle when that makes ownership and historical records easier to manage.</w:t>
      </w:r>
    </w:p>
    <w:p>
      <w:pPr>
        <w:pStyle w:val="Heading1"/>
      </w:pPr>
      <w:r>
        <w:t>2. Set the measures and weights</w:t>
      </w:r>
    </w:p>
    <w:p>
      <w:r>
        <w:t>The Scorecard tab contains 18 suggested metrics across six domains: Service Delivery &amp; SLA; Quality &amp; Deliverables; Compliance &amp; Obligations; Risk, Security &amp; Resilience; Relationship &amp; Governance; and Cost &amp; Value. The default weights total 100%. Adjust metrics, weights, and targets to reflect the contract, service criticality, business outcomes, and internal policies. The example targets are not universal standards.</w:t>
      </w:r>
    </w:p>
    <w:p>
      <w:pPr>
        <w:pStyle w:val="Heading1"/>
      </w:pPr>
      <w:r>
        <w:t>3. Rate performance from 1 to 5</w:t>
      </w:r>
    </w:p>
    <w:tbl>
      <w:tblPr>
        <w:tblStyle w:val="LightShading-Accent1"/>
        <w:tblW w:type="auto" w:w="0"/>
        <w:jc w:val="center"/>
        <w:tblLook w:firstColumn="1" w:firstRow="1" w:lastColumn="0" w:lastRow="0" w:noHBand="0" w:noVBand="1" w:val="04A0"/>
      </w:tblPr>
      <w:tblGrid>
        <w:gridCol w:w="5040"/>
        <w:gridCol w:w="5040"/>
      </w:tblGrid>
      <w:tr>
        <w:tc>
          <w:tcPr>
            <w:tcW w:type="dxa" w:w="5040"/>
          </w:tcPr>
          <w:p>
            <w:r>
              <w:t>Rating</w:t>
            </w:r>
          </w:p>
        </w:tc>
        <w:tc>
          <w:tcPr>
            <w:tcW w:type="dxa" w:w="5040"/>
          </w:tcPr>
          <w:p>
            <w:r>
              <w:t>Suggested interpretation</w:t>
            </w:r>
          </w:p>
        </w:tc>
      </w:tr>
      <w:tr>
        <w:tc>
          <w:tcPr>
            <w:tcW w:type="dxa" w:w="5040"/>
            <w:vAlign w:val="center"/>
          </w:tcPr>
          <w:p>
            <w:r>
              <w:t>5 – Excellent</w:t>
            </w:r>
          </w:p>
        </w:tc>
        <w:tc>
          <w:tcPr>
            <w:tcW w:type="dxa" w:w="5040"/>
            <w:vAlign w:val="center"/>
          </w:tcPr>
          <w:p>
            <w:r>
              <w:t>Consistently meets or exceeds targets; evidence demonstrates strong delivery and proactive improvement.</w:t>
            </w:r>
          </w:p>
        </w:tc>
      </w:tr>
      <w:tr>
        <w:tc>
          <w:tcPr>
            <w:tcW w:type="dxa" w:w="5040"/>
            <w:vAlign w:val="center"/>
          </w:tcPr>
          <w:p>
            <w:r>
              <w:t>4 – Good</w:t>
            </w:r>
          </w:p>
        </w:tc>
        <w:tc>
          <w:tcPr>
            <w:tcW w:type="dxa" w:w="5040"/>
            <w:vAlign w:val="center"/>
          </w:tcPr>
          <w:p>
            <w:r>
              <w:t>Generally meets targets; any minor deviations are promptly managed.</w:t>
            </w:r>
          </w:p>
        </w:tc>
      </w:tr>
      <w:tr>
        <w:tc>
          <w:tcPr>
            <w:tcW w:type="dxa" w:w="5040"/>
            <w:vAlign w:val="center"/>
          </w:tcPr>
          <w:p>
            <w:r>
              <w:t>3 – Watch</w:t>
            </w:r>
          </w:p>
        </w:tc>
        <w:tc>
          <w:tcPr>
            <w:tcW w:type="dxa" w:w="5040"/>
            <w:vAlign w:val="center"/>
          </w:tcPr>
          <w:p>
            <w:r>
              <w:t>Mixed performance or some targets missed; a documented improvement plan may be needed.</w:t>
            </w:r>
          </w:p>
        </w:tc>
      </w:tr>
      <w:tr>
        <w:tc>
          <w:tcPr>
            <w:tcW w:type="dxa" w:w="5040"/>
            <w:vAlign w:val="center"/>
          </w:tcPr>
          <w:p>
            <w:r>
              <w:t>2 – Below expectations</w:t>
            </w:r>
          </w:p>
        </w:tc>
        <w:tc>
          <w:tcPr>
            <w:tcW w:type="dxa" w:w="5040"/>
            <w:vAlign w:val="center"/>
          </w:tcPr>
          <w:p>
            <w:r>
              <w:t>Frequent misses, material gaps, or corrective action required.</w:t>
            </w:r>
          </w:p>
        </w:tc>
      </w:tr>
      <w:tr>
        <w:tc>
          <w:tcPr>
            <w:tcW w:type="dxa" w:w="5040"/>
            <w:vAlign w:val="center"/>
          </w:tcPr>
          <w:p>
            <w:r>
              <w:t>1 – Unacceptable</w:t>
            </w:r>
          </w:p>
        </w:tc>
        <w:tc>
          <w:tcPr>
            <w:tcW w:type="dxa" w:w="5040"/>
            <w:vAlign w:val="center"/>
          </w:tcPr>
          <w:p>
            <w:r>
              <w:t>Serious or repeated failure, significant impact, or unresolved critical issue.</w:t>
            </w:r>
          </w:p>
        </w:tc>
      </w:tr>
    </w:tbl>
    <w:p>
      <w:r>
        <w:t>Important: this is a supplier performance scorecard, so a higher score is better. This differs from risk-severity scales where a higher number commonly means greater risk.</w:t>
      </w:r>
    </w:p>
    <w:p>
      <w:pPr>
        <w:pStyle w:val="Heading1"/>
      </w:pPr>
      <w:r>
        <w:t>4. Record actual results and evidence</w:t>
      </w:r>
    </w:p>
    <w:p>
      <w:r>
        <w:t>For each KPI, enter the actual result or a short evidence summary, select a rating, record the review date and owner, and explain significant deviations. Prefer verifiable evidence such as SLA reports, incident logs, acceptance records, obligations registers, QBR action logs, audit findings, invoices, and consumption records. Avoid rating a KPI from an unsupported impression when measurable evidence is available.</w:t>
      </w:r>
    </w:p>
    <w:p>
      <w:pPr>
        <w:pStyle w:val="Heading1"/>
      </w:pPr>
      <w:r>
        <w:t>5. Interpret the dashboard</w:t>
      </w:r>
    </w:p>
    <w:p>
      <w:r>
        <w:t>The dashboard calculates the overall performance score using rated KPIs only and reports rating completion, low-rated KPIs, and performance by domain. The illustrative bands are 90–100 Excellent, 75–89 Good, 55–74 Watch, 35–54 Improvement Required, and below 35 Unsatisfactory. These bands should be calibrated before use. A critical contractual, compliance, security, or safety issue should still be escalated even if the average score looks acceptable.</w:t>
      </w:r>
    </w:p>
    <w:p>
      <w:pPr>
        <w:pStyle w:val="Heading1"/>
      </w:pPr>
      <w:r>
        <w:t>6. Track actions and review history</w:t>
      </w:r>
    </w:p>
    <w:p>
      <w:r>
        <w:t>Use Action Tracker to document findings and improvement commitments, assign an owner, set due dates, select priority/status, and record closure evidence. Use Review Log to record a snapshot after each formal review. For deeper auditability, save a dated copy of the completed workbook or preserve an approved record in your vendor governance system.</w:t>
      </w:r>
    </w:p>
    <w:p>
      <w:pPr>
        <w:pStyle w:val="Heading1"/>
      </w:pPr>
      <w:r>
        <w:t>7. Import into Google Sheets</w:t>
      </w:r>
    </w:p>
    <w:p>
      <w:r>
        <w:t>Upload the .xlsx workbook to Google Drive, then choose Open with Google Sheets. Review formulas, dropdowns, conditional formatting, and any charts after import. Google Sheets conversion can vary by feature and organization settings, so test a copy before adopting it as a production process.</w:t>
      </w:r>
    </w:p>
    <w:p>
      <w:pPr>
        <w:pStyle w:val="Heading1"/>
      </w:pPr>
      <w:r>
        <w:t>8. Enlighta knowledge-base alignment</w:t>
      </w:r>
    </w:p>
    <w:p>
      <w:r>
        <w:t>The scorecard reflects themes in Enlighta's documented vendor governance and continuous TPRM materials, including vendor performance assessments, balanced scorecards, SLA and KPI monitoring, contractual obligations, issue/gap monitoring, audit finding disposition, service improvement projects, and ongoing performance and compliance monitoring.</w:t>
      </w:r>
    </w:p>
    <w:p>
      <w:pPr>
        <w:pStyle w:val="ListBullet"/>
      </w:pPr>
      <w:r>
        <w:t>Enlighta Continuous TPRM and Strategic Vendor Governance – April 2026.</w:t>
      </w:r>
    </w:p>
    <w:p>
      <w:pPr>
        <w:pStyle w:val="ListBullet"/>
      </w:pPr>
      <w:r>
        <w:t>Continuous third-party risk management: Advanced tools, AI, automation and analytics in solving real-world challenges.</w:t>
      </w:r>
    </w:p>
    <w:p>
      <w:pPr>
        <w:pStyle w:val="ListBullet"/>
      </w:pPr>
      <w:r>
        <w:t>Enlighta Strategic Vendor Governance – November 2025.</w:t>
      </w:r>
    </w:p>
    <w:p>
      <w:pPr>
        <w:pStyle w:val="Heading1"/>
      </w:pPr>
      <w:r>
        <w:t>Disclaimer</w:t>
      </w:r>
    </w:p>
    <w:p>
      <w:r>
        <w:t>This is a general-purpose operational template, not a formal Enlighta product export, legal advice, a certification, or a guarantee of compliance. Tailor it to the contract, applicable requirements, risk appetite, and internal governance process.</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4344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7365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69B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69B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