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69B8"/>
          <w:sz w:val="40"/>
        </w:rPr>
        <w:t>VENDOR RISK ASSESSMENT TEMPLATE</w:t>
      </w:r>
    </w:p>
    <w:p>
      <w:pPr>
        <w:jc w:val="center"/>
      </w:pPr>
      <w:r>
        <w:rPr>
          <w:i/>
          <w:sz w:val="22"/>
        </w:rPr>
        <w:t>How to use the downloadable workbook</w:t>
      </w:r>
    </w:p>
    <w:p>
      <w:r>
        <w:t>A practical guide for assessing third-party risk before onboarding and throughout the vendor relationship. The workbook is designed to support a risk-based process, evidence-led decisions, remediation tracking, and ongoing monitoring.</w:t>
      </w:r>
    </w:p>
    <w:p>
      <w:pPr>
        <w:pStyle w:val="Heading1"/>
      </w:pPr>
      <w:r>
        <w:t>1. Recommended workflow</w:t>
      </w:r>
    </w:p>
    <w:p>
      <w:pPr>
        <w:pStyle w:val="ListNumber"/>
      </w:pPr>
      <w:r>
        <w:rPr>
          <w:b/>
        </w:rPr>
        <w:t xml:space="preserve">Define the relationship: </w:t>
      </w:r>
      <w:r>
        <w:t>Complete Vendor Profile. Describe the service, business dependency, data handled, access, processing locations, criticality, contract, and material subcontractors.</w:t>
      </w:r>
    </w:p>
    <w:p>
      <w:pPr>
        <w:pStyle w:val="ListNumber"/>
      </w:pPr>
      <w:r>
        <w:rPr>
          <w:b/>
        </w:rPr>
        <w:t xml:space="preserve">Set the scope: </w:t>
      </w:r>
      <w:r>
        <w:t>Select relevant risk domains based on inherent risk, service criticality, data sensitivity, regulatory context, and the vendor's access. Do not treat every vendor identically.</w:t>
      </w:r>
    </w:p>
    <w:p>
      <w:pPr>
        <w:pStyle w:val="ListNumber"/>
      </w:pPr>
      <w:r>
        <w:rPr>
          <w:b/>
        </w:rPr>
        <w:t xml:space="preserve">Assess controls and evidence: </w:t>
      </w:r>
      <w:r>
        <w:t>In Risk Assessment, enter a rating for each applicable question and record evidence, date reviewed, reviewer/contact, and rationale. Use N/A only when genuinely not applicable and explain why.</w:t>
      </w:r>
    </w:p>
    <w:p>
      <w:pPr>
        <w:pStyle w:val="ListNumber"/>
      </w:pPr>
      <w:r>
        <w:rPr>
          <w:b/>
        </w:rPr>
        <w:t xml:space="preserve">Record gaps: </w:t>
      </w:r>
      <w:r>
        <w:t>Transfer material weaknesses into Issues &amp; Actions. Assign an accountable owner, due date, remediation, validation evidence, and escalation or risk-acceptance decision.</w:t>
      </w:r>
    </w:p>
    <w:p>
      <w:pPr>
        <w:pStyle w:val="ListNumber"/>
      </w:pPr>
      <w:r>
        <w:rPr>
          <w:b/>
        </w:rPr>
        <w:t xml:space="preserve">Decide and approve: </w:t>
      </w:r>
      <w:r>
        <w:t>Use Decision &amp; Approvals to record approve, conditional approval, defer, or reject; document residual risk and approvals required by internal policy.</w:t>
      </w:r>
    </w:p>
    <w:p>
      <w:pPr>
        <w:pStyle w:val="ListNumber"/>
      </w:pPr>
      <w:r>
        <w:rPr>
          <w:b/>
        </w:rPr>
        <w:t xml:space="preserve">Monitor and refresh: </w:t>
      </w:r>
      <w:r>
        <w:t>Use Monitoring Plan to define signals, thresholds, frequency, owners, and escalation. Reassess periodically and after significant changes or adverse events.</w:t>
      </w:r>
    </w:p>
    <w:p>
      <w:pPr>
        <w:pStyle w:val="Heading1"/>
      </w:pPr>
      <w:r>
        <w:t>2. Rating scale</w:t>
      </w:r>
    </w:p>
    <w:tbl>
      <w:tblPr>
        <w:tblStyle w:val="LightShading-Accent1"/>
        <w:tblW w:type="auto" w:w="0"/>
        <w:jc w:val="center"/>
        <w:tblLook w:firstColumn="1" w:firstRow="1" w:lastColumn="0" w:lastRow="0" w:noHBand="0" w:noVBand="1" w:val="04A0"/>
      </w:tblPr>
      <w:tblGrid>
        <w:gridCol w:w="3360"/>
        <w:gridCol w:w="3360"/>
        <w:gridCol w:w="3360"/>
      </w:tblGrid>
      <w:tr>
        <w:tc>
          <w:tcPr>
            <w:tcW w:type="dxa" w:w="3360"/>
          </w:tcPr>
          <w:p>
            <w:r>
              <w:t>Rating</w:t>
            </w:r>
          </w:p>
        </w:tc>
        <w:tc>
          <w:tcPr>
            <w:tcW w:type="dxa" w:w="3360"/>
          </w:tcPr>
          <w:p>
            <w:r>
              <w:t>Meaning</w:t>
            </w:r>
          </w:p>
        </w:tc>
        <w:tc>
          <w:tcPr>
            <w:tcW w:type="dxa" w:w="3360"/>
          </w:tcPr>
          <w:p>
            <w:r>
              <w:t>Evidence interpretation</w:t>
            </w:r>
          </w:p>
        </w:tc>
      </w:tr>
      <w:tr>
        <w:tc>
          <w:tcPr>
            <w:tcW w:type="dxa" w:w="3360"/>
            <w:vAlign w:val="center"/>
          </w:tcPr>
          <w:p>
            <w:r>
              <w:t>1</w:t>
            </w:r>
          </w:p>
        </w:tc>
        <w:tc>
          <w:tcPr>
            <w:tcW w:type="dxa" w:w="3360"/>
            <w:vAlign w:val="center"/>
          </w:tcPr>
          <w:p>
            <w:r>
              <w:t>Low concern</w:t>
            </w:r>
          </w:p>
        </w:tc>
        <w:tc>
          <w:tcPr>
            <w:tcW w:type="dxa" w:w="3360"/>
            <w:vAlign w:val="center"/>
          </w:tcPr>
          <w:p>
            <w:r>
              <w:t>Strong evidence that the control is designed and operating effectively.</w:t>
            </w:r>
          </w:p>
        </w:tc>
      </w:tr>
      <w:tr>
        <w:tc>
          <w:tcPr>
            <w:tcW w:type="dxa" w:w="3360"/>
            <w:vAlign w:val="center"/>
          </w:tcPr>
          <w:p>
            <w:r>
              <w:t>2</w:t>
            </w:r>
          </w:p>
        </w:tc>
        <w:tc>
          <w:tcPr>
            <w:tcW w:type="dxa" w:w="3360"/>
            <w:vAlign w:val="center"/>
          </w:tcPr>
          <w:p>
            <w:r>
              <w:t>Minor concern</w:t>
            </w:r>
          </w:p>
        </w:tc>
        <w:tc>
          <w:tcPr>
            <w:tcW w:type="dxa" w:w="3360"/>
            <w:vAlign w:val="center"/>
          </w:tcPr>
          <w:p>
            <w:r>
              <w:t>Small gap or limited exception; impact appears contained.</w:t>
            </w:r>
          </w:p>
        </w:tc>
      </w:tr>
      <w:tr>
        <w:tc>
          <w:tcPr>
            <w:tcW w:type="dxa" w:w="3360"/>
            <w:vAlign w:val="center"/>
          </w:tcPr>
          <w:p>
            <w:r>
              <w:t>3</w:t>
            </w:r>
          </w:p>
        </w:tc>
        <w:tc>
          <w:tcPr>
            <w:tcW w:type="dxa" w:w="3360"/>
            <w:vAlign w:val="center"/>
          </w:tcPr>
          <w:p>
            <w:r>
              <w:t>Moderate concern</w:t>
            </w:r>
          </w:p>
        </w:tc>
        <w:tc>
          <w:tcPr>
            <w:tcW w:type="dxa" w:w="3360"/>
            <w:vAlign w:val="center"/>
          </w:tcPr>
          <w:p>
            <w:r>
              <w:t>Some control gaps, limited evidence, or remediation needed.</w:t>
            </w:r>
          </w:p>
        </w:tc>
      </w:tr>
      <w:tr>
        <w:tc>
          <w:tcPr>
            <w:tcW w:type="dxa" w:w="3360"/>
            <w:vAlign w:val="center"/>
          </w:tcPr>
          <w:p>
            <w:r>
              <w:t>4</w:t>
            </w:r>
          </w:p>
        </w:tc>
        <w:tc>
          <w:tcPr>
            <w:tcW w:type="dxa" w:w="3360"/>
            <w:vAlign w:val="center"/>
          </w:tcPr>
          <w:p>
            <w:r>
              <w:t>High concern</w:t>
            </w:r>
          </w:p>
        </w:tc>
        <w:tc>
          <w:tcPr>
            <w:tcW w:type="dxa" w:w="3360"/>
            <w:vAlign w:val="center"/>
          </w:tcPr>
          <w:p>
            <w:r>
              <w:t>Material weakness, repeated failures, or insufficient assurance.</w:t>
            </w:r>
          </w:p>
        </w:tc>
      </w:tr>
      <w:tr>
        <w:tc>
          <w:tcPr>
            <w:tcW w:type="dxa" w:w="3360"/>
            <w:vAlign w:val="center"/>
          </w:tcPr>
          <w:p>
            <w:r>
              <w:t>5</w:t>
            </w:r>
          </w:p>
        </w:tc>
        <w:tc>
          <w:tcPr>
            <w:tcW w:type="dxa" w:w="3360"/>
            <w:vAlign w:val="center"/>
          </w:tcPr>
          <w:p>
            <w:r>
              <w:t>Critical concern</w:t>
            </w:r>
          </w:p>
        </w:tc>
        <w:tc>
          <w:tcPr>
            <w:tcW w:type="dxa" w:w="3360"/>
            <w:vAlign w:val="center"/>
          </w:tcPr>
          <w:p>
            <w:r>
              <w:t>Severe weakness, unacceptable exposure, or urgent intervention required.</w:t>
            </w:r>
          </w:p>
        </w:tc>
      </w:tr>
      <w:tr>
        <w:tc>
          <w:tcPr>
            <w:tcW w:type="dxa" w:w="3360"/>
            <w:vAlign w:val="center"/>
          </w:tcPr>
          <w:p>
            <w:r>
              <w:t>N/A</w:t>
            </w:r>
          </w:p>
        </w:tc>
        <w:tc>
          <w:tcPr>
            <w:tcW w:type="dxa" w:w="3360"/>
            <w:vAlign w:val="center"/>
          </w:tcPr>
          <w:p>
            <w:r>
              <w:t>Not applicable</w:t>
            </w:r>
          </w:p>
        </w:tc>
        <w:tc>
          <w:tcPr>
            <w:tcW w:type="dxa" w:w="3360"/>
            <w:vAlign w:val="center"/>
          </w:tcPr>
          <w:p>
            <w:r>
              <w:t>Use only with a clear reason; do not use to avoid an uncomfortable rating.</w:t>
            </w:r>
          </w:p>
        </w:tc>
      </w:tr>
    </w:tbl>
    <w:p>
      <w:pPr>
        <w:pStyle w:val="Heading1"/>
      </w:pPr>
      <w:r>
        <w:t>3. Interpreting the score</w:t>
      </w:r>
    </w:p>
    <w:p>
      <w:r>
        <w:t>The workbook calculates a weighted average and converts it to a 20–100 scale. Higher values indicate higher residual risk. Suggested starting bands are:</w:t>
      </w:r>
    </w:p>
    <w:p>
      <w:pPr>
        <w:pStyle w:val="ListBullet"/>
      </w:pPr>
      <w:r>
        <w:t>20–34: Low</w:t>
      </w:r>
    </w:p>
    <w:p>
      <w:pPr>
        <w:pStyle w:val="ListBullet"/>
      </w:pPr>
      <w:r>
        <w:t>35–49: Moderate</w:t>
      </w:r>
    </w:p>
    <w:p>
      <w:pPr>
        <w:pStyle w:val="ListBullet"/>
      </w:pPr>
      <w:r>
        <w:t>50–69: High</w:t>
      </w:r>
    </w:p>
    <w:p>
      <w:pPr>
        <w:pStyle w:val="ListBullet"/>
      </w:pPr>
      <w:r>
        <w:t>70–100: Critical</w:t>
      </w:r>
    </w:p>
    <w:p>
      <w:r>
        <w:t>These bands are illustrative and should be calibrated to your organization's risk appetite, control framework, regulatory obligations, and historical outcomes. A critical individual finding can require escalation even when the overall average score is lower. Confirm the formula and applicability rules before using the workbook for formal decisions.</w:t>
      </w:r>
    </w:p>
    <w:p>
      <w:pPr>
        <w:pStyle w:val="Heading1"/>
      </w:pPr>
      <w:r>
        <w:t>4. Evidence and validation</w:t>
      </w:r>
    </w:p>
    <w:p>
      <w:pPr>
        <w:pStyle w:val="ListBullet"/>
      </w:pPr>
      <w:r>
        <w:t>Prefer current, relevant evidence such as policies, independent assurance reports, penetration-test summaries, business continuity test results, certifications, incident procedures, and documented control records.</w:t>
      </w:r>
    </w:p>
    <w:p>
      <w:pPr>
        <w:pStyle w:val="ListBullet"/>
      </w:pPr>
      <w:r>
        <w:t>Record the document/source and review date. Note scope limitations, exceptions, expired evidence, and any reliance on supplier self-attestation.</w:t>
      </w:r>
    </w:p>
    <w:p>
      <w:pPr>
        <w:pStyle w:val="ListBullet"/>
      </w:pPr>
      <w:r>
        <w:t>For material risks, evaluate whether controls operate effectively, not only whether a policy exists. Request clarification or additional evidence where needed.</w:t>
      </w:r>
    </w:p>
    <w:p>
      <w:pPr>
        <w:pStyle w:val="ListBullet"/>
      </w:pPr>
      <w:r>
        <w:t>Handle confidential vendor information according to your organization's access, retention, and data-protection requirements.</w:t>
      </w:r>
    </w:p>
    <w:p>
      <w:pPr>
        <w:pStyle w:val="Heading1"/>
      </w:pPr>
      <w:r>
        <w:t>5. Risk domains included</w:t>
      </w:r>
    </w:p>
    <w:p>
      <w:r>
        <w:t>Governance and compliance; information security; privacy and data protection; business continuity and resilience; operational competency; financial viability; compliance and ethics; reputation and ESG; subcontractor/fourth-party risk; technology and AI; service performance; contract and commercial terms; audit and assurance; continuous monitoring; and fraud/identity controls.</w:t>
      </w:r>
    </w:p>
    <w:p>
      <w:pPr>
        <w:pStyle w:val="Heading1"/>
      </w:pPr>
      <w:r>
        <w:t>6. Continuous monitoring triggers</w:t>
      </w:r>
    </w:p>
    <w:p>
      <w:r>
        <w:t>Consider event-driven reassessment following a security incident, adverse media or sanctions alert, ownership change, new material subcontractor, processing-location change, major service change, failed continuity test, expired certification or insurance, significant KPI/KRI deterioration, overdue high-risk remediation, or contract renewal.</w:t>
      </w:r>
    </w:p>
    <w:p>
      <w:pPr>
        <w:pStyle w:val="Heading1"/>
      </w:pPr>
      <w:r>
        <w:t>7. Governance and limitations</w:t>
      </w:r>
    </w:p>
    <w:p>
      <w:r>
        <w:t>Use the assessment as one input into a governed decision process. The business owner, TPRM, security, privacy, compliance, procurement, legal, and audit functions should participate as appropriate to the service and risk. Record who accepted residual risk and under what authority.</w:t>
      </w:r>
    </w:p>
    <w:p>
      <w:r>
        <w:t>This workbook is a general-purpose starting point, not legal advice, a certification, or a guarantee of compliance. Tailor it to applicable laws, contractual commitments, industry requirements, and internal policy. Review questions, weights, thresholds, and approval rules before operational use.</w:t>
      </w:r>
    </w:p>
    <w:p>
      <w:pPr>
        <w:pStyle w:val="Heading1"/>
      </w:pPr>
      <w:r>
        <w:t>8. Enlighta knowledge-base alignment</w:t>
      </w:r>
    </w:p>
    <w:p>
      <w:r>
        <w:t>This guide reflects themes in the Enlighta knowledge base: risk-based due diligence; multiple risk dimensions; evidence collection and validation; continuous monitoring; KPI/KRI and contract-obligation oversight; issue remediation; fourth-party visibility; and governance across the vendor lifecycle.</w:t>
      </w:r>
    </w:p>
    <w:p>
      <w:r>
        <w:t>Knowledge-base references consulted:</w:t>
      </w:r>
    </w:p>
    <w:p>
      <w:pPr>
        <w:pStyle w:val="ListBullet"/>
      </w:pPr>
      <w:r>
        <w:t>Enlighta Continuous TPRM and Strategic Vendor Governance – April 2026.</w:t>
      </w:r>
    </w:p>
    <w:p>
      <w:pPr>
        <w:pStyle w:val="ListBullet"/>
      </w:pPr>
      <w:r>
        <w:t>Continuous third-party risk management: Advanced tools, AI, automation and analytics in solving real-world challenges.</w:t>
      </w:r>
    </w:p>
    <w:p>
      <w:pPr>
        <w:pStyle w:val="ListBullet"/>
      </w:pPr>
      <w:r>
        <w:t>Enlighta Strategic Vendor Governance – November 2025.</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4344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69B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69B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