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69B8"/>
          <w:sz w:val="42"/>
        </w:rPr>
        <w:t>THIRD-PARTY RISK MANAGEMENT (TPRM)</w:t>
        <w:br/>
        <w:t>POLICY TEMPLATE &amp; FRAMEWORK</w:t>
      </w:r>
    </w:p>
    <w:p>
      <w:pPr>
        <w:jc w:val="center"/>
      </w:pPr>
      <w:r>
        <w:rPr>
          <w:i/>
        </w:rPr>
        <w:t>Editable model policy for adaptation to your organization</w:t>
      </w:r>
    </w:p>
    <w:p>
      <w:r>
        <w:t>Instructions: Replace bracketed placeholders, select the governance options that apply, and obtain review from appropriate risk, security, privacy, compliance, procurement, legal, and business stakeholders. Remove drafting notes and irrelevant options before formal approval.</w:t>
      </w:r>
    </w:p>
    <w:p>
      <w:pPr>
        <w:pStyle w:val="Heading1"/>
      </w:pPr>
      <w:r>
        <w:t>Document control</w:t>
      </w:r>
    </w:p>
    <w:tbl>
      <w:tblPr>
        <w:tblStyle w:val="LightShading-Accent1"/>
        <w:tblW w:type="auto" w:w="0"/>
        <w:jc w:val="center"/>
        <w:tblLook w:firstColumn="1" w:firstRow="1" w:lastColumn="0" w:lastRow="0" w:noHBand="0" w:noVBand="1" w:val="04A0"/>
      </w:tblPr>
      <w:tblGrid>
        <w:gridCol w:w="5040"/>
        <w:gridCol w:w="5040"/>
      </w:tblGrid>
      <w:tr>
        <w:tc>
          <w:tcPr>
            <w:tcW w:type="dxa" w:w="5040"/>
            <w:vAlign w:val="center"/>
            <w:shd w:fill="0069B8"/>
          </w:tcPr>
          <w:p>
            <w:r>
              <w:rPr>
                <w:b/>
                <w:color w:val="FFFFFF"/>
              </w:rPr>
              <w:t>Field</w:t>
            </w:r>
          </w:p>
        </w:tc>
        <w:tc>
          <w:tcPr>
            <w:tcW w:type="dxa" w:w="5040"/>
            <w:vAlign w:val="center"/>
            <w:shd w:fill="0069B8"/>
          </w:tcPr>
          <w:p>
            <w:r>
              <w:rPr>
                <w:b/>
                <w:color w:val="FFFFFF"/>
              </w:rPr>
              <w:t>Organization entry</w:t>
            </w:r>
          </w:p>
        </w:tc>
      </w:tr>
      <w:tr>
        <w:tc>
          <w:tcPr>
            <w:tcW w:type="dxa" w:w="5040"/>
            <w:vAlign w:val="center"/>
          </w:tcPr>
          <w:p>
            <w:r>
              <w:t>Policy owner</w:t>
            </w:r>
          </w:p>
        </w:tc>
        <w:tc>
          <w:tcPr>
            <w:tcW w:type="dxa" w:w="5040"/>
            <w:vAlign w:val="center"/>
          </w:tcPr>
          <w:p>
            <w:r>
              <w:t>[TPRM Program Owner / Risk Function]</w:t>
            </w:r>
          </w:p>
        </w:tc>
      </w:tr>
      <w:tr>
        <w:tc>
          <w:tcPr>
            <w:tcW w:type="dxa" w:w="5040"/>
            <w:vAlign w:val="center"/>
          </w:tcPr>
          <w:p>
            <w:r>
              <w:t>Executive sponsor</w:t>
            </w:r>
          </w:p>
        </w:tc>
        <w:tc>
          <w:tcPr>
            <w:tcW w:type="dxa" w:w="5040"/>
            <w:vAlign w:val="center"/>
          </w:tcPr>
          <w:p>
            <w:r>
              <w:t>[Role / Committee]</w:t>
            </w:r>
          </w:p>
        </w:tc>
      </w:tr>
      <w:tr>
        <w:tc>
          <w:tcPr>
            <w:tcW w:type="dxa" w:w="5040"/>
            <w:vAlign w:val="center"/>
          </w:tcPr>
          <w:p>
            <w:r>
              <w:t>Approver</w:t>
            </w:r>
          </w:p>
        </w:tc>
        <w:tc>
          <w:tcPr>
            <w:tcW w:type="dxa" w:w="5040"/>
            <w:vAlign w:val="center"/>
          </w:tcPr>
          <w:p>
            <w:r>
              <w:t>[Board / Executive Committee / Delegated Authority]</w:t>
            </w:r>
          </w:p>
        </w:tc>
      </w:tr>
      <w:tr>
        <w:tc>
          <w:tcPr>
            <w:tcW w:type="dxa" w:w="5040"/>
            <w:vAlign w:val="center"/>
          </w:tcPr>
          <w:p>
            <w:r>
              <w:t>Version and status</w:t>
            </w:r>
          </w:p>
        </w:tc>
        <w:tc>
          <w:tcPr>
            <w:tcW w:type="dxa" w:w="5040"/>
            <w:vAlign w:val="center"/>
          </w:tcPr>
          <w:p>
            <w:r>
              <w:t>[Version] / [Draft, Approved, Superseded]</w:t>
            </w:r>
          </w:p>
        </w:tc>
      </w:tr>
      <w:tr>
        <w:tc>
          <w:tcPr>
            <w:tcW w:type="dxa" w:w="5040"/>
            <w:vAlign w:val="center"/>
          </w:tcPr>
          <w:p>
            <w:r>
              <w:t>Effective date</w:t>
            </w:r>
          </w:p>
        </w:tc>
        <w:tc>
          <w:tcPr>
            <w:tcW w:type="dxa" w:w="5040"/>
            <w:vAlign w:val="center"/>
          </w:tcPr>
          <w:p>
            <w:r>
              <w:t>[YYYY-MM-DD]</w:t>
            </w:r>
          </w:p>
        </w:tc>
      </w:tr>
      <w:tr>
        <w:tc>
          <w:tcPr>
            <w:tcW w:type="dxa" w:w="5040"/>
            <w:vAlign w:val="center"/>
          </w:tcPr>
          <w:p>
            <w:r>
              <w:t>Next review date</w:t>
            </w:r>
          </w:p>
        </w:tc>
        <w:tc>
          <w:tcPr>
            <w:tcW w:type="dxa" w:w="5040"/>
            <w:vAlign w:val="center"/>
          </w:tcPr>
          <w:p>
            <w:r>
              <w:t>[YYYY-MM-DD or policy-defined interval]</w:t>
            </w:r>
          </w:p>
        </w:tc>
      </w:tr>
      <w:tr>
        <w:tc>
          <w:tcPr>
            <w:tcW w:type="dxa" w:w="5040"/>
            <w:vAlign w:val="center"/>
          </w:tcPr>
          <w:p>
            <w:r>
              <w:t>Related documents</w:t>
            </w:r>
          </w:p>
        </w:tc>
        <w:tc>
          <w:tcPr>
            <w:tcW w:type="dxa" w:w="5040"/>
            <w:vAlign w:val="center"/>
          </w:tcPr>
          <w:p>
            <w:r>
              <w:t>[Risk appetite, information security, privacy, procurement, incident response, continuity, records retention, contract standards]</w:t>
            </w:r>
          </w:p>
        </w:tc>
      </w:tr>
    </w:tbl>
    <w:p>
      <w:pPr>
        <w:pStyle w:val="Heading1"/>
      </w:pPr>
      <w:r>
        <w:t>1. Purpose</w:t>
      </w:r>
    </w:p>
    <w:p>
      <w:r>
        <w:t>This policy establishes minimum governance and control requirements for identifying, assessing, approving, contracting with, monitoring, remediating, and exiting third-party relationships. It aims to provide a consistent, risk-based TPRM approach, protect organizational assets and stakeholders, support applicable obligations, and clarify risk ownership and decisions throughout the relationship lifecycle.</w:t>
      </w:r>
    </w:p>
    <w:p>
      <w:pPr>
        <w:pStyle w:val="Heading1"/>
      </w:pPr>
      <w:r>
        <w:t>2. Scope</w:t>
      </w:r>
    </w:p>
    <w:p>
      <w:r>
        <w:t>This policy applies to [Organization] personnel and functions that select, procure, contract with, manage, oversee, or use third parties. It covers suppliers, service providers, consultants, outsourcing partners, technology and cloud providers, professional services firms, and other external parties whose products or services may affect the organization. Include material subcontractors, fourth parties, affiliates, agents, and downstream dependencies when they may affect service delivery, data, security, compliance, resilience, or business outcomes. Define exclusions and who can approve them.</w:t>
      </w:r>
    </w:p>
    <w:p>
      <w:pPr>
        <w:pStyle w:val="Heading1"/>
      </w:pPr>
      <w:r>
        <w:t>3. Policy statement and principles</w:t>
      </w:r>
    </w:p>
    <w:p>
      <w:pPr>
        <w:pStyle w:val="ListBullet"/>
      </w:pPr>
      <w:r>
        <w:t>Risk-based and proportionate: depth of due diligence, approval, contractual controls, and monitoring must reflect inherent risk, business criticality, access, data, geography, and dependencies.</w:t>
      </w:r>
    </w:p>
    <w:p>
      <w:pPr>
        <w:pStyle w:val="ListBullet"/>
      </w:pPr>
      <w:r>
        <w:t>Lifecycle coverage: TPRM starts before engagement and continues through onboarding, ongoing performance and risk monitoring, renewal, material change, and exit.</w:t>
      </w:r>
    </w:p>
    <w:p>
      <w:pPr>
        <w:pStyle w:val="ListBullet"/>
      </w:pPr>
      <w:r>
        <w:t>Evidence-led decisions: significant control claims should be supported by current, relevant evidence; a policy document alone may not show operating effectiveness.</w:t>
      </w:r>
    </w:p>
    <w:p>
      <w:pPr>
        <w:pStyle w:val="ListBullet"/>
      </w:pPr>
      <w:r>
        <w:t>Clear accountability: each in-scope relationship has an accountable business owner and defined assessment, approval, monitoring, remediation, and exit responsibilities.</w:t>
      </w:r>
    </w:p>
    <w:p>
      <w:pPr>
        <w:pStyle w:val="ListBullet"/>
      </w:pPr>
      <w:r>
        <w:t>Contract commitments are managed: oversight includes relevant obligations beyond SLAs, such as security, privacy, audit, notification, continuity, transition, insurance, and regulatory requirements.</w:t>
      </w:r>
    </w:p>
    <w:p>
      <w:pPr>
        <w:pStyle w:val="ListBullet"/>
      </w:pPr>
      <w:r>
        <w:t>Continuous visibility: relevant adverse events, changes in vendor condition, performance, controls, subcontractors, and obligations trigger review or action.</w:t>
      </w:r>
    </w:p>
    <w:p>
      <w:pPr>
        <w:pStyle w:val="ListBullet"/>
      </w:pPr>
      <w:r>
        <w:t>Documented exceptions: deviations are justified, approved by authorized roles, time-bound where practicable, and monitored.</w:t>
      </w:r>
    </w:p>
    <w:p>
      <w:pPr>
        <w:pStyle w:val="ListBullet"/>
      </w:pPr>
      <w:r>
        <w:t>Independent oversight: risk/compliance oversight and internal audit responsibilities are defined consistently with the organization’s governance model.</w:t>
      </w:r>
    </w:p>
    <w:p>
      <w:pPr>
        <w:pStyle w:val="Heading1"/>
      </w:pPr>
      <w:r>
        <w:t>4. Definitions</w:t>
      </w:r>
    </w:p>
    <w:tbl>
      <w:tblPr>
        <w:tblStyle w:val="LightShading-Accent1"/>
        <w:tblW w:type="auto" w:w="0"/>
        <w:jc w:val="center"/>
        <w:tblLook w:firstColumn="1" w:firstRow="1" w:lastColumn="0" w:lastRow="0" w:noHBand="0" w:noVBand="1" w:val="04A0"/>
      </w:tblPr>
      <w:tblGrid>
        <w:gridCol w:w="5040"/>
        <w:gridCol w:w="5040"/>
      </w:tblGrid>
      <w:tr>
        <w:tc>
          <w:tcPr>
            <w:tcW w:type="dxa" w:w="5040"/>
            <w:vAlign w:val="center"/>
            <w:shd w:fill="0069B8"/>
          </w:tcPr>
          <w:p>
            <w:r>
              <w:rPr>
                <w:b/>
                <w:color w:val="FFFFFF"/>
              </w:rPr>
              <w:t>Term</w:t>
            </w:r>
          </w:p>
        </w:tc>
        <w:tc>
          <w:tcPr>
            <w:tcW w:type="dxa" w:w="5040"/>
            <w:vAlign w:val="center"/>
            <w:shd w:fill="0069B8"/>
          </w:tcPr>
          <w:p>
            <w:r>
              <w:rPr>
                <w:b/>
                <w:color w:val="FFFFFF"/>
              </w:rPr>
              <w:t>Working definition</w:t>
            </w:r>
          </w:p>
        </w:tc>
      </w:tr>
      <w:tr>
        <w:tc>
          <w:tcPr>
            <w:tcW w:type="dxa" w:w="5040"/>
            <w:vAlign w:val="center"/>
          </w:tcPr>
          <w:p>
            <w:r>
              <w:t>Third party / vendor</w:t>
            </w:r>
          </w:p>
        </w:tc>
        <w:tc>
          <w:tcPr>
            <w:tcW w:type="dxa" w:w="5040"/>
            <w:vAlign w:val="center"/>
          </w:tcPr>
          <w:p>
            <w:r>
              <w:t>An external organization or individual providing goods, services, technology, or support.</w:t>
            </w:r>
          </w:p>
        </w:tc>
      </w:tr>
      <w:tr>
        <w:tc>
          <w:tcPr>
            <w:tcW w:type="dxa" w:w="5040"/>
            <w:vAlign w:val="center"/>
          </w:tcPr>
          <w:p>
            <w:r>
              <w:t>Inherent risk</w:t>
            </w:r>
          </w:p>
        </w:tc>
        <w:tc>
          <w:tcPr>
            <w:tcW w:type="dxa" w:w="5040"/>
            <w:vAlign w:val="center"/>
          </w:tcPr>
          <w:p>
            <w:r>
              <w:t>Exposure associated with a relationship before considering control effectiveness.</w:t>
            </w:r>
          </w:p>
        </w:tc>
      </w:tr>
      <w:tr>
        <w:tc>
          <w:tcPr>
            <w:tcW w:type="dxa" w:w="5040"/>
            <w:vAlign w:val="center"/>
          </w:tcPr>
          <w:p>
            <w:r>
              <w:t>Residual risk</w:t>
            </w:r>
          </w:p>
        </w:tc>
        <w:tc>
          <w:tcPr>
            <w:tcW w:type="dxa" w:w="5040"/>
            <w:vAlign w:val="center"/>
          </w:tcPr>
          <w:p>
            <w:r>
              <w:t>Risk remaining after relevant controls and mitigations are considered.</w:t>
            </w:r>
          </w:p>
        </w:tc>
      </w:tr>
      <w:tr>
        <w:tc>
          <w:tcPr>
            <w:tcW w:type="dxa" w:w="5040"/>
            <w:vAlign w:val="center"/>
          </w:tcPr>
          <w:p>
            <w:r>
              <w:t>Critical / high-risk third party</w:t>
            </w:r>
          </w:p>
        </w:tc>
        <w:tc>
          <w:tcPr>
            <w:tcW w:type="dxa" w:w="5040"/>
            <w:vAlign w:val="center"/>
          </w:tcPr>
          <w:p>
            <w:r>
              <w:t>A party classified under the approved method as having elevated business impact, access, data, regulatory, or resilience risk.</w:t>
            </w:r>
          </w:p>
        </w:tc>
      </w:tr>
      <w:tr>
        <w:tc>
          <w:tcPr>
            <w:tcW w:type="dxa" w:w="5040"/>
            <w:vAlign w:val="center"/>
          </w:tcPr>
          <w:p>
            <w:r>
              <w:t>Due diligence</w:t>
            </w:r>
          </w:p>
        </w:tc>
        <w:tc>
          <w:tcPr>
            <w:tcW w:type="dxa" w:w="5040"/>
            <w:vAlign w:val="center"/>
          </w:tcPr>
          <w:p>
            <w:r>
              <w:t>Pre-engagement and periodic work to understand a third party, identify risk, and evaluate controls.</w:t>
            </w:r>
          </w:p>
        </w:tc>
      </w:tr>
      <w:tr>
        <w:tc>
          <w:tcPr>
            <w:tcW w:type="dxa" w:w="5040"/>
            <w:vAlign w:val="center"/>
          </w:tcPr>
          <w:p>
            <w:r>
              <w:t>Fourth party</w:t>
            </w:r>
          </w:p>
        </w:tc>
        <w:tc>
          <w:tcPr>
            <w:tcW w:type="dxa" w:w="5040"/>
            <w:vAlign w:val="center"/>
          </w:tcPr>
          <w:p>
            <w:r>
              <w:t>A subcontractor or downstream party on which a third party depends to deliver a contracted service.</w:t>
            </w:r>
          </w:p>
        </w:tc>
      </w:tr>
      <w:tr>
        <w:tc>
          <w:tcPr>
            <w:tcW w:type="dxa" w:w="5040"/>
            <w:vAlign w:val="center"/>
          </w:tcPr>
          <w:p>
            <w:r>
              <w:t>KPI / KRI</w:t>
            </w:r>
          </w:p>
        </w:tc>
        <w:tc>
          <w:tcPr>
            <w:tcW w:type="dxa" w:w="5040"/>
            <w:vAlign w:val="center"/>
          </w:tcPr>
          <w:p>
            <w:r>
              <w:t>A key performance indicator measures service or outcome performance; a key risk indicator signals changes in exposure or control risk.</w:t>
            </w:r>
          </w:p>
        </w:tc>
      </w:tr>
      <w:tr>
        <w:tc>
          <w:tcPr>
            <w:tcW w:type="dxa" w:w="5040"/>
            <w:vAlign w:val="center"/>
          </w:tcPr>
          <w:p>
            <w:r>
              <w:t>Obligation</w:t>
            </w:r>
          </w:p>
        </w:tc>
        <w:tc>
          <w:tcPr>
            <w:tcW w:type="dxa" w:w="5040"/>
            <w:vAlign w:val="center"/>
          </w:tcPr>
          <w:p>
            <w:r>
              <w:t>A contractual, legal, regulatory, policy, or operational commitment that must be fulfilled or monitored.</w:t>
            </w:r>
          </w:p>
        </w:tc>
      </w:tr>
      <w:tr>
        <w:tc>
          <w:tcPr>
            <w:tcW w:type="dxa" w:w="5040"/>
            <w:vAlign w:val="center"/>
          </w:tcPr>
          <w:p>
            <w:r>
              <w:t>Risk acceptance</w:t>
            </w:r>
          </w:p>
        </w:tc>
        <w:tc>
          <w:tcPr>
            <w:tcW w:type="dxa" w:w="5040"/>
            <w:vAlign w:val="center"/>
          </w:tcPr>
          <w:p>
            <w:r>
              <w:t>A documented decision by an authorized role to accept defined residual risk for a stated purpose and period.</w:t>
            </w:r>
          </w:p>
        </w:tc>
      </w:tr>
    </w:tbl>
    <w:p>
      <w:pPr>
        <w:pStyle w:val="Heading1"/>
      </w:pPr>
      <w:r>
        <w:t>5. Governance, roles and accountability</w:t>
      </w:r>
    </w:p>
    <w:tbl>
      <w:tblPr>
        <w:tblStyle w:val="LightShading-Accent1"/>
        <w:tblW w:type="auto" w:w="0"/>
        <w:jc w:val="center"/>
        <w:tblLook w:firstColumn="1" w:firstRow="1" w:lastColumn="0" w:lastRow="0" w:noHBand="0" w:noVBand="1" w:val="04A0"/>
      </w:tblPr>
      <w:tblGrid>
        <w:gridCol w:w="5040"/>
        <w:gridCol w:w="5040"/>
      </w:tblGrid>
      <w:tr>
        <w:tc>
          <w:tcPr>
            <w:tcW w:type="dxa" w:w="5040"/>
            <w:vAlign w:val="center"/>
            <w:shd w:fill="0069B8"/>
          </w:tcPr>
          <w:p>
            <w:r>
              <w:rPr>
                <w:b/>
                <w:color w:val="FFFFFF"/>
              </w:rPr>
              <w:t>Role</w:t>
            </w:r>
          </w:p>
        </w:tc>
        <w:tc>
          <w:tcPr>
            <w:tcW w:type="dxa" w:w="5040"/>
            <w:vAlign w:val="center"/>
            <w:shd w:fill="0069B8"/>
          </w:tcPr>
          <w:p>
            <w:r>
              <w:rPr>
                <w:b/>
                <w:color w:val="FFFFFF"/>
              </w:rPr>
              <w:t>Minimum responsibilities</w:t>
            </w:r>
          </w:p>
        </w:tc>
      </w:tr>
      <w:tr>
        <w:tc>
          <w:tcPr>
            <w:tcW w:type="dxa" w:w="5040"/>
            <w:vAlign w:val="center"/>
          </w:tcPr>
          <w:p>
            <w:r>
              <w:t>Board / senior management / delegated committee</w:t>
            </w:r>
          </w:p>
        </w:tc>
        <w:tc>
          <w:tcPr>
            <w:tcW w:type="dxa" w:w="5040"/>
            <w:vAlign w:val="center"/>
          </w:tcPr>
          <w:p>
            <w:r>
              <w:t>Approve policy and risk appetite as applicable; oversee material exposure and critical relationships; review significant exceptions and portfolio reporting.</w:t>
            </w:r>
          </w:p>
        </w:tc>
      </w:tr>
      <w:tr>
        <w:tc>
          <w:tcPr>
            <w:tcW w:type="dxa" w:w="5040"/>
            <w:vAlign w:val="center"/>
          </w:tcPr>
          <w:p>
            <w:r>
              <w:t>TPRM program owner</w:t>
            </w:r>
          </w:p>
        </w:tc>
        <w:tc>
          <w:tcPr>
            <w:tcW w:type="dxa" w:w="5040"/>
            <w:vAlign w:val="center"/>
          </w:tcPr>
          <w:p>
            <w:r>
              <w:t>Maintain framework, methodology, templates, standards, training, reporting, consistency, and policy review.</w:t>
            </w:r>
          </w:p>
        </w:tc>
      </w:tr>
      <w:tr>
        <w:tc>
          <w:tcPr>
            <w:tcW w:type="dxa" w:w="5040"/>
            <w:vAlign w:val="center"/>
          </w:tcPr>
          <w:p>
            <w:r>
              <w:t>Business / relationship owner</w:t>
            </w:r>
          </w:p>
        </w:tc>
        <w:tc>
          <w:tcPr>
            <w:tcW w:type="dxa" w:w="5040"/>
            <w:vAlign w:val="center"/>
          </w:tcPr>
          <w:p>
            <w:r>
              <w:t>Own business need and relationship; provide context; ensure assessments, monitoring, action follow-up, renewal, and exit decisions.</w:t>
            </w:r>
          </w:p>
        </w:tc>
      </w:tr>
      <w:tr>
        <w:tc>
          <w:tcPr>
            <w:tcW w:type="dxa" w:w="5040"/>
            <w:vAlign w:val="center"/>
          </w:tcPr>
          <w:p>
            <w:r>
              <w:t>Procurement / sourcing</w:t>
            </w:r>
          </w:p>
        </w:tc>
        <w:tc>
          <w:tcPr>
            <w:tcW w:type="dxa" w:w="5040"/>
            <w:vAlign w:val="center"/>
          </w:tcPr>
          <w:p>
            <w:r>
              <w:t>Embed intake, supplier registration, sourcing gates, due diligence requirements, and purchasing controls.</w:t>
            </w:r>
          </w:p>
        </w:tc>
      </w:tr>
      <w:tr>
        <w:tc>
          <w:tcPr>
            <w:tcW w:type="dxa" w:w="5040"/>
            <w:vAlign w:val="center"/>
          </w:tcPr>
          <w:p>
            <w:r>
              <w:t>Legal / contract management</w:t>
            </w:r>
          </w:p>
        </w:tc>
        <w:tc>
          <w:tcPr>
            <w:tcW w:type="dxa" w:w="5040"/>
            <w:vAlign w:val="center"/>
          </w:tcPr>
          <w:p>
            <w:r>
              <w:t>Review relevant terms, rights, obligations, liability, audit and notification provisions, renewal, termination, and transition.</w:t>
            </w:r>
          </w:p>
        </w:tc>
      </w:tr>
      <w:tr>
        <w:tc>
          <w:tcPr>
            <w:tcW w:type="dxa" w:w="5040"/>
            <w:vAlign w:val="center"/>
          </w:tcPr>
          <w:p>
            <w:r>
              <w:t>Information security / technology</w:t>
            </w:r>
          </w:p>
        </w:tc>
        <w:tc>
          <w:tcPr>
            <w:tcW w:type="dxa" w:w="5040"/>
            <w:vAlign w:val="center"/>
          </w:tcPr>
          <w:p>
            <w:r>
              <w:t>Assess cyber, access, architecture, resilience, incident, vulnerability, and technology risks relevant to the service.</w:t>
            </w:r>
          </w:p>
        </w:tc>
      </w:tr>
      <w:tr>
        <w:tc>
          <w:tcPr>
            <w:tcW w:type="dxa" w:w="5040"/>
            <w:vAlign w:val="center"/>
          </w:tcPr>
          <w:p>
            <w:r>
              <w:t>Privacy / data protection</w:t>
            </w:r>
          </w:p>
        </w:tc>
        <w:tc>
          <w:tcPr>
            <w:tcW w:type="dxa" w:w="5040"/>
            <w:vAlign w:val="center"/>
          </w:tcPr>
          <w:p>
            <w:r>
              <w:t>Review data processing, data transfers, retention, deletion, and privacy terms as applicable.</w:t>
            </w:r>
          </w:p>
        </w:tc>
      </w:tr>
      <w:tr>
        <w:tc>
          <w:tcPr>
            <w:tcW w:type="dxa" w:w="5040"/>
            <w:vAlign w:val="center"/>
          </w:tcPr>
          <w:p>
            <w:r>
              <w:t>Compliance / enterprise risk</w:t>
            </w:r>
          </w:p>
        </w:tc>
        <w:tc>
          <w:tcPr>
            <w:tcW w:type="dxa" w:w="5040"/>
            <w:vAlign w:val="center"/>
          </w:tcPr>
          <w:p>
            <w:r>
              <w:t>Provide second-line oversight, advise on applicable requirements, challenge assessments, and monitor risk acceptance and exceptions.</w:t>
            </w:r>
          </w:p>
        </w:tc>
      </w:tr>
      <w:tr>
        <w:tc>
          <w:tcPr>
            <w:tcW w:type="dxa" w:w="5040"/>
            <w:vAlign w:val="center"/>
          </w:tcPr>
          <w:p>
            <w:r>
              <w:t>Vendor manager / service owner</w:t>
            </w:r>
          </w:p>
        </w:tc>
        <w:tc>
          <w:tcPr>
            <w:tcW w:type="dxa" w:w="5040"/>
            <w:vAlign w:val="center"/>
          </w:tcPr>
          <w:p>
            <w:r>
              <w:t>Track performance, SLAs, KPIs/KRIs, obligations, governance meetings, service improvement, issues, and renewal milestones.</w:t>
            </w:r>
          </w:p>
        </w:tc>
      </w:tr>
      <w:tr>
        <w:tc>
          <w:tcPr>
            <w:tcW w:type="dxa" w:w="5040"/>
            <w:vAlign w:val="center"/>
          </w:tcPr>
          <w:p>
            <w:r>
              <w:t>Third party / supplier contact</w:t>
            </w:r>
          </w:p>
        </w:tc>
        <w:tc>
          <w:tcPr>
            <w:tcW w:type="dxa" w:w="5040"/>
            <w:vAlign w:val="center"/>
          </w:tcPr>
          <w:p>
            <w:r>
              <w:t>Provide accurate information and evidence, notify agreed events, fulfil obligations, and support remediation.</w:t>
            </w:r>
          </w:p>
        </w:tc>
      </w:tr>
      <w:tr>
        <w:tc>
          <w:tcPr>
            <w:tcW w:type="dxa" w:w="5040"/>
            <w:vAlign w:val="center"/>
          </w:tcPr>
          <w:p>
            <w:r>
              <w:t>Internal audit</w:t>
            </w:r>
          </w:p>
        </w:tc>
        <w:tc>
          <w:tcPr>
            <w:tcW w:type="dxa" w:w="5040"/>
            <w:vAlign w:val="center"/>
          </w:tcPr>
          <w:p>
            <w:r>
              <w:t>Provide independent assurance on TPRM framework design and operation consistent with its mandate.</w:t>
            </w:r>
          </w:p>
        </w:tc>
      </w:tr>
    </w:tbl>
    <w:p>
      <w:pPr>
        <w:pStyle w:val="Heading1"/>
      </w:pPr>
      <w:r>
        <w:t>6. Third-party inventory, intake and classification</w:t>
      </w:r>
    </w:p>
    <w:p>
      <w:r>
        <w:t>Record all in-scope relationships in an approved inventory before final approval or onboarding, subject to documented authorized exceptions. The record should identify legal entity, service, owner, contract, locations, data handled, access, criticality, material subcontractors, and lifecycle status.</w:t>
      </w:r>
    </w:p>
    <w:p>
      <w:pPr>
        <w:pStyle w:val="ListBullet"/>
      </w:pPr>
      <w:r>
        <w:t>Business criticality and potential service-disruption impact.</w:t>
      </w:r>
    </w:p>
    <w:p>
      <w:pPr>
        <w:pStyle w:val="ListBullet"/>
      </w:pPr>
      <w:r>
        <w:t>Data type, sensitivity, volume, processing location, and access.</w:t>
      </w:r>
    </w:p>
    <w:p>
      <w:pPr>
        <w:pStyle w:val="ListBullet"/>
      </w:pPr>
      <w:r>
        <w:t>Logical, physical, privileged, or system-to-system access.</w:t>
      </w:r>
    </w:p>
    <w:p>
      <w:pPr>
        <w:pStyle w:val="ListBullet"/>
      </w:pPr>
      <w:r>
        <w:t>Regulatory, contractual, jurisdictional, concentration, and reputation exposures.</w:t>
      </w:r>
    </w:p>
    <w:p>
      <w:pPr>
        <w:pStyle w:val="ListBullet"/>
      </w:pPr>
      <w:r>
        <w:t>Material subcontractors, fourth parties, platforms, and dependencies.</w:t>
      </w:r>
    </w:p>
    <w:p>
      <w:pPr>
        <w:pStyle w:val="ListBullet"/>
      </w:pPr>
      <w:r>
        <w:t>Financial, operational, security, privacy, resilience, compliance, and service-performance signals.</w:t>
      </w:r>
    </w:p>
    <w:p>
      <w:r>
        <w:t>Define tier criteria, minimum due diligence, approval authority, monitoring frequency, and reassessment triggers for each tier. Revisit tiering when service, data, access, ownership, geography, or dependencies change materially.</w:t>
      </w:r>
    </w:p>
    <w:p>
      <w:pPr>
        <w:pStyle w:val="Heading1"/>
      </w:pPr>
      <w:r>
        <w:t>7. Pre-engagement screening and risk assessment</w:t>
      </w:r>
    </w:p>
    <w:p>
      <w:r>
        <w:t>Complete proportionate screening and assessment before approval or access. Use an approved method and cover relevant domains:</w:t>
      </w:r>
    </w:p>
    <w:p>
      <w:pPr>
        <w:pStyle w:val="ListBullet"/>
      </w:pPr>
      <w:r>
        <w:t>Business capability, financial viability, ownership, reputation, and relevant adverse events.</w:t>
      </w:r>
    </w:p>
    <w:p>
      <w:pPr>
        <w:pStyle w:val="ListBullet"/>
      </w:pPr>
      <w:r>
        <w:t>Information security, privacy, access management, incident response, vulnerability management, and technology risks.</w:t>
      </w:r>
    </w:p>
    <w:p>
      <w:pPr>
        <w:pStyle w:val="ListBullet"/>
      </w:pPr>
      <w:r>
        <w:t>Business continuity, disaster recovery, resilience, and concentration or dependency risk.</w:t>
      </w:r>
    </w:p>
    <w:p>
      <w:pPr>
        <w:pStyle w:val="ListBullet"/>
      </w:pPr>
      <w:r>
        <w:t>Legal, regulatory, ethics, sanctions, anti-bribery, and other applicable compliance topics.</w:t>
      </w:r>
    </w:p>
    <w:p>
      <w:pPr>
        <w:pStyle w:val="ListBullet"/>
      </w:pPr>
      <w:r>
        <w:t>Subcontractor and fourth-party oversight, including material downstream dependencies.</w:t>
      </w:r>
    </w:p>
    <w:p>
      <w:pPr>
        <w:pStyle w:val="ListBullet"/>
      </w:pPr>
      <w:r>
        <w:t>Service performance, contractual deliverables, obligations, insurance, and domain-specific requirements.</w:t>
      </w:r>
    </w:p>
    <w:p>
      <w:r>
        <w:t>Record findings, evidence, limitations, ratings, proposed controls, and open questions. For significant risks, assess control operating effectiveness and request additional validation when appropriate.</w:t>
      </w:r>
    </w:p>
    <w:p>
      <w:pPr>
        <w:pStyle w:val="Heading1"/>
      </w:pPr>
      <w:r>
        <w:t>8. Risk treatment, approval and exceptions</w:t>
      </w:r>
    </w:p>
    <w:p>
      <w:r>
        <w:t>The authorized decision-maker must review the assessment, business need, material findings, required mitigations, contractual protections, and residual risk. Outcomes may include approve, approve with conditions, defer, or reject.</w:t>
      </w:r>
    </w:p>
    <w:p>
      <w:pPr>
        <w:pStyle w:val="ListBullet"/>
      </w:pPr>
      <w:r>
        <w:t>Escalate critical or unacceptable residual risk under the approved risk appetite and authority matrix.</w:t>
      </w:r>
    </w:p>
    <w:p>
      <w:pPr>
        <w:pStyle w:val="ListBullet"/>
      </w:pPr>
      <w:r>
        <w:t>Give every approval condition an owner, deadline, evidence requirement, and escalation route.</w:t>
      </w:r>
    </w:p>
    <w:p>
      <w:pPr>
        <w:pStyle w:val="ListBullet"/>
      </w:pPr>
      <w:r>
        <w:t>Document risk acceptance with rationale, compensating controls, approving authority, expiry/review date, and monitoring conditions.</w:t>
      </w:r>
    </w:p>
    <w:p>
      <w:pPr>
        <w:pStyle w:val="ListBullet"/>
      </w:pPr>
      <w:r>
        <w:t>Track policy exceptions to closure or renewal; no exception can waive a legal or regulatory requirement where waiver is not permitted.</w:t>
      </w:r>
    </w:p>
    <w:p>
      <w:pPr>
        <w:pStyle w:val="Heading1"/>
      </w:pPr>
      <w:r>
        <w:t>9. Contracting and obligations management</w:t>
      </w:r>
    </w:p>
    <w:p>
      <w:r>
        <w:t>Contract terms must reflect assessed risk and service context. Legal and relevant control owners should review terms before execution. Where applicable, address:</w:t>
      </w:r>
    </w:p>
    <w:p>
      <w:pPr>
        <w:pStyle w:val="ListBullet"/>
      </w:pPr>
      <w:r>
        <w:t>Scope, deliverables, acceptance criteria, SLAs, KPIs/KRIs, reports, credits, and escalation.</w:t>
      </w:r>
    </w:p>
    <w:p>
      <w:pPr>
        <w:pStyle w:val="ListBullet"/>
      </w:pPr>
      <w:r>
        <w:t>Security, privacy, data use/location/retention/deletion, access, and incident notification timeframes.</w:t>
      </w:r>
    </w:p>
    <w:p>
      <w:pPr>
        <w:pStyle w:val="ListBullet"/>
      </w:pPr>
      <w:r>
        <w:t>Audit rights, evidence provision, independent assurance, and cooperation with investigations where applicable.</w:t>
      </w:r>
    </w:p>
    <w:p>
      <w:pPr>
        <w:pStyle w:val="ListBullet"/>
      </w:pPr>
      <w:r>
        <w:t>Business continuity, disaster recovery, resilience testing, and incident cooperation.</w:t>
      </w:r>
    </w:p>
    <w:p>
      <w:pPr>
        <w:pStyle w:val="ListBullet"/>
      </w:pPr>
      <w:r>
        <w:t>Subcontracting approval/notification, flow-down of requirements, and material fourth-party changes.</w:t>
      </w:r>
    </w:p>
    <w:p>
      <w:pPr>
        <w:pStyle w:val="ListBullet"/>
      </w:pPr>
      <w:r>
        <w:t>Insurance, certifications, training, IP, confidentiality, and records as applicable.</w:t>
      </w:r>
    </w:p>
    <w:p>
      <w:pPr>
        <w:pStyle w:val="ListBullet"/>
      </w:pPr>
      <w:r>
        <w:t>Obligation owners, evidence, due dates, renewal/termination notices, transition assistance, and exit cooperation.</w:t>
      </w:r>
    </w:p>
    <w:p>
      <w:r>
        <w:t>SLAs do not replace obligations management. Identify and track significant commitments beyond service levels, including compliance, transition, audit, security, training, and relationship-specific requirements.</w:t>
      </w:r>
    </w:p>
    <w:p>
      <w:pPr>
        <w:pStyle w:val="Heading1"/>
      </w:pPr>
      <w:r>
        <w:t>10. Onboarding and access authorization</w:t>
      </w:r>
    </w:p>
    <w:p>
      <w:pPr>
        <w:pStyle w:val="ListBullet"/>
      </w:pPr>
      <w:r>
        <w:t>Confirm required assessments, approvals, executed contract, and mandatory evidence before activation.</w:t>
      </w:r>
    </w:p>
    <w:p>
      <w:pPr>
        <w:pStyle w:val="ListBullet"/>
      </w:pPr>
      <w:r>
        <w:t>Provision access through approved processes using least privilege, separation of duties, time limits, and documented justification.</w:t>
      </w:r>
    </w:p>
    <w:p>
      <w:pPr>
        <w:pStyle w:val="ListBullet"/>
      </w:pPr>
      <w:r>
        <w:t>Record contacts, escalation paths, service owners, dates, deliverables, and monitoring requirements.</w:t>
      </w:r>
    </w:p>
    <w:p>
      <w:pPr>
        <w:pStyle w:val="ListBullet"/>
      </w:pPr>
      <w:r>
        <w:t>Complete required inductions, security/privacy briefings, and operational readiness checks.</w:t>
      </w:r>
    </w:p>
    <w:p>
      <w:pPr>
        <w:pStyle w:val="ListBullet"/>
      </w:pPr>
      <w:r>
        <w:t>Track onboarding conditions and how fulfilment will be validated.</w:t>
      </w:r>
    </w:p>
    <w:p>
      <w:pPr>
        <w:pStyle w:val="Heading1"/>
      </w:pPr>
      <w:r>
        <w:t>11. Ongoing monitoring and periodic reassessment</w:t>
      </w:r>
    </w:p>
    <w:p>
      <w:r>
        <w:t>Monitoring must be proportionate to risk and include appropriate attention to service performance, risk indicators, obligations, evidence expiry, findings, and relevant changes. Activities may include reviews, alerts, supplier notifications, external data, scorecards, audits, and governance meetings.</w:t>
      </w:r>
    </w:p>
    <w:tbl>
      <w:tblPr>
        <w:tblStyle w:val="LightShading-Accent1"/>
        <w:tblW w:type="auto" w:w="0"/>
        <w:jc w:val="center"/>
        <w:tblLook w:firstColumn="1" w:firstRow="1" w:lastColumn="0" w:lastRow="0" w:noHBand="0" w:noVBand="1" w:val="04A0"/>
      </w:tblPr>
      <w:tblGrid>
        <w:gridCol w:w="3360"/>
        <w:gridCol w:w="3360"/>
        <w:gridCol w:w="3360"/>
      </w:tblGrid>
      <w:tr>
        <w:tc>
          <w:tcPr>
            <w:tcW w:type="dxa" w:w="3360"/>
            <w:vAlign w:val="center"/>
            <w:shd w:fill="0069B8"/>
          </w:tcPr>
          <w:p>
            <w:r>
              <w:rPr>
                <w:b/>
                <w:color w:val="FFFFFF"/>
              </w:rPr>
              <w:t>Monitoring area</w:t>
            </w:r>
          </w:p>
        </w:tc>
        <w:tc>
          <w:tcPr>
            <w:tcW w:type="dxa" w:w="3360"/>
            <w:vAlign w:val="center"/>
            <w:shd w:fill="0069B8"/>
          </w:tcPr>
          <w:p>
            <w:r>
              <w:rPr>
                <w:b/>
                <w:color w:val="FFFFFF"/>
              </w:rPr>
              <w:t>Examples</w:t>
            </w:r>
          </w:p>
        </w:tc>
        <w:tc>
          <w:tcPr>
            <w:tcW w:type="dxa" w:w="3360"/>
            <w:vAlign w:val="center"/>
            <w:shd w:fill="0069B8"/>
          </w:tcPr>
          <w:p>
            <w:r>
              <w:rPr>
                <w:b/>
                <w:color w:val="FFFFFF"/>
              </w:rPr>
              <w:t>Expected response</w:t>
            </w:r>
          </w:p>
        </w:tc>
      </w:tr>
      <w:tr>
        <w:tc>
          <w:tcPr>
            <w:tcW w:type="dxa" w:w="3360"/>
            <w:vAlign w:val="center"/>
          </w:tcPr>
          <w:p>
            <w:r>
              <w:t>Service performance</w:t>
            </w:r>
          </w:p>
        </w:tc>
        <w:tc>
          <w:tcPr>
            <w:tcW w:type="dxa" w:w="3360"/>
            <w:vAlign w:val="center"/>
          </w:tcPr>
          <w:p>
            <w:r>
              <w:t>SLA/KPI trends, missed deliverables, recurring incidents, credits</w:t>
            </w:r>
          </w:p>
        </w:tc>
        <w:tc>
          <w:tcPr>
            <w:tcW w:type="dxa" w:w="3360"/>
            <w:vAlign w:val="center"/>
          </w:tcPr>
          <w:p>
            <w:r>
              <w:t>Review trends; agree corrective action and escalation.</w:t>
            </w:r>
          </w:p>
        </w:tc>
      </w:tr>
      <w:tr>
        <w:tc>
          <w:tcPr>
            <w:tcW w:type="dxa" w:w="3360"/>
            <w:vAlign w:val="center"/>
          </w:tcPr>
          <w:p>
            <w:r>
              <w:t>Security and privacy</w:t>
            </w:r>
          </w:p>
        </w:tc>
        <w:tc>
          <w:tcPr>
            <w:tcW w:type="dxa" w:w="3360"/>
            <w:vAlign w:val="center"/>
          </w:tcPr>
          <w:p>
            <w:r>
              <w:t>Incidents, vulnerabilities, access changes, assurance gaps, privacy events</w:t>
            </w:r>
          </w:p>
        </w:tc>
        <w:tc>
          <w:tcPr>
            <w:tcW w:type="dxa" w:w="3360"/>
            <w:vAlign w:val="center"/>
          </w:tcPr>
          <w:p>
            <w:r>
              <w:t>Apply incident procedures; reassess risk and controls.</w:t>
            </w:r>
          </w:p>
        </w:tc>
      </w:tr>
      <w:tr>
        <w:tc>
          <w:tcPr>
            <w:tcW w:type="dxa" w:w="3360"/>
            <w:vAlign w:val="center"/>
          </w:tcPr>
          <w:p>
            <w:r>
              <w:t>Compliance and obligations</w:t>
            </w:r>
          </w:p>
        </w:tc>
        <w:tc>
          <w:tcPr>
            <w:tcW w:type="dxa" w:w="3360"/>
            <w:vAlign w:val="center"/>
          </w:tcPr>
          <w:p>
            <w:r>
              <w:t>Missed commitments, audit findings, expired certifications or insurance</w:t>
            </w:r>
          </w:p>
        </w:tc>
        <w:tc>
          <w:tcPr>
            <w:tcW w:type="dxa" w:w="3360"/>
            <w:vAlign w:val="center"/>
          </w:tcPr>
          <w:p>
            <w:r>
              <w:t>Assign owner and due date; validate closure; escalate material items.</w:t>
            </w:r>
          </w:p>
        </w:tc>
      </w:tr>
      <w:tr>
        <w:tc>
          <w:tcPr>
            <w:tcW w:type="dxa" w:w="3360"/>
            <w:vAlign w:val="center"/>
          </w:tcPr>
          <w:p>
            <w:r>
              <w:t>Supplier condition</w:t>
            </w:r>
          </w:p>
        </w:tc>
        <w:tc>
          <w:tcPr>
            <w:tcW w:type="dxa" w:w="3360"/>
            <w:vAlign w:val="center"/>
          </w:tcPr>
          <w:p>
            <w:r>
              <w:t>Financial deterioration, ownership changes, adverse events, screening alerts</w:t>
            </w:r>
          </w:p>
        </w:tc>
        <w:tc>
          <w:tcPr>
            <w:tcW w:type="dxa" w:w="3360"/>
            <w:vAlign w:val="center"/>
          </w:tcPr>
          <w:p>
            <w:r>
              <w:t>Validate signal; assess impact; adjust due diligence/monitoring.</w:t>
            </w:r>
          </w:p>
        </w:tc>
      </w:tr>
      <w:tr>
        <w:tc>
          <w:tcPr>
            <w:tcW w:type="dxa" w:w="3360"/>
            <w:vAlign w:val="center"/>
          </w:tcPr>
          <w:p>
            <w:r>
              <w:t>Dependencies</w:t>
            </w:r>
          </w:p>
        </w:tc>
        <w:tc>
          <w:tcPr>
            <w:tcW w:type="dxa" w:w="3360"/>
            <w:vAlign w:val="center"/>
          </w:tcPr>
          <w:p>
            <w:r>
              <w:t>New subcontractor, location, technology dependency, concentration change</w:t>
            </w:r>
          </w:p>
        </w:tc>
        <w:tc>
          <w:tcPr>
            <w:tcW w:type="dxa" w:w="3360"/>
            <w:vAlign w:val="center"/>
          </w:tcPr>
          <w:p>
            <w:r>
              <w:t>Assess impact and approve/reject under change procedures.</w:t>
            </w:r>
          </w:p>
        </w:tc>
      </w:tr>
      <w:tr>
        <w:tc>
          <w:tcPr>
            <w:tcW w:type="dxa" w:w="3360"/>
            <w:vAlign w:val="center"/>
          </w:tcPr>
          <w:p>
            <w:r>
              <w:t>Resilience</w:t>
            </w:r>
          </w:p>
        </w:tc>
        <w:tc>
          <w:tcPr>
            <w:tcW w:type="dxa" w:w="3360"/>
            <w:vAlign w:val="center"/>
          </w:tcPr>
          <w:p>
            <w:r>
              <w:t>Failed continuity test, outage, recovery-target miss</w:t>
            </w:r>
          </w:p>
        </w:tc>
        <w:tc>
          <w:tcPr>
            <w:tcW w:type="dxa" w:w="3360"/>
            <w:vAlign w:val="center"/>
          </w:tcPr>
          <w:p>
            <w:r>
              <w:t>Activate response and reassess resilience controls.</w:t>
            </w:r>
          </w:p>
        </w:tc>
      </w:tr>
    </w:tbl>
    <w:p>
      <w:r>
        <w:t>Set tier-based review intervals in supporting standards. Reassess after material incidents, ownership or service changes, new material subcontractors, control failures, adverse legal/regulatory developments, renewal, or sustained performance deterioration.</w:t>
      </w:r>
    </w:p>
    <w:p>
      <w:pPr>
        <w:pStyle w:val="Heading1"/>
      </w:pPr>
      <w:r>
        <w:t>12. Issues, incidents and remediation</w:t>
      </w:r>
    </w:p>
    <w:p>
      <w:pPr>
        <w:pStyle w:val="ListBullet"/>
      </w:pPr>
      <w:r>
        <w:t>Record material findings, incidents, control gaps, audit issues, and vendor commitments in an approved register or system.</w:t>
      </w:r>
    </w:p>
    <w:p>
      <w:pPr>
        <w:pStyle w:val="ListBullet"/>
      </w:pPr>
      <w:r>
        <w:t>Assign severity, impact, accountable owner, target date, dependencies, and closure evidence.</w:t>
      </w:r>
    </w:p>
    <w:p>
      <w:pPr>
        <w:pStyle w:val="ListBullet"/>
      </w:pPr>
      <w:r>
        <w:t>Escalate critical or overdue issues according to defined thresholds and incident/risk procedures.</w:t>
      </w:r>
    </w:p>
    <w:p>
      <w:pPr>
        <w:pStyle w:val="ListBullet"/>
      </w:pPr>
      <w:r>
        <w:t>Validate remediation effectiveness before closing high-impact issues.</w:t>
      </w:r>
    </w:p>
    <w:p>
      <w:pPr>
        <w:pStyle w:val="ListBullet"/>
      </w:pPr>
      <w:r>
        <w:t>Document residual risk, compensating controls, authorized acceptance, and next review date where issues remain open.</w:t>
      </w:r>
    </w:p>
    <w:p>
      <w:pPr>
        <w:pStyle w:val="Heading1"/>
      </w:pPr>
      <w:r>
        <w:t>13. Change management, subcontractors and fourth parties</w:t>
      </w:r>
    </w:p>
    <w:p>
      <w:r>
        <w:t>Define notification and review gates for material ownership, service, technology, access, processing-location, data-use, staffing, or subcontractor changes. Identify material fourth-party dependencies and assess them in proportion to impact. Flow down relevant contractual requirements when needed.</w:t>
      </w:r>
    </w:p>
    <w:p>
      <w:pPr>
        <w:pStyle w:val="Heading1"/>
      </w:pPr>
      <w:r>
        <w:t>14. Renewal, termination and exit</w:t>
      </w:r>
    </w:p>
    <w:p>
      <w:pPr>
        <w:pStyle w:val="ListBullet"/>
      </w:pPr>
      <w:r>
        <w:t>Start renewal review early enough to assess performance, open obligations, risk changes, commercial terms, and exit options.</w:t>
      </w:r>
    </w:p>
    <w:p>
      <w:pPr>
        <w:pStyle w:val="ListBullet"/>
      </w:pPr>
      <w:r>
        <w:t>Require authorized approval before renewing or extending critical/high-risk relationships.</w:t>
      </w:r>
    </w:p>
    <w:p>
      <w:pPr>
        <w:pStyle w:val="ListBullet"/>
      </w:pPr>
      <w:r>
        <w:t>Define exit plans for critical services, including transition, continuity, data return/deletion, access revocation, asset return, knowledge transfer, and outstanding obligations.</w:t>
      </w:r>
    </w:p>
    <w:p>
      <w:pPr>
        <w:pStyle w:val="ListBullet"/>
      </w:pPr>
      <w:r>
        <w:t>Confirm access is removed or adjusted at exit and preserve required records.</w:t>
      </w:r>
    </w:p>
    <w:p>
      <w:pPr>
        <w:pStyle w:val="ListBullet"/>
      </w:pPr>
      <w:r>
        <w:t>Document termination risk, unresolved issues, residual obligations, and lessons learned.</w:t>
      </w:r>
    </w:p>
    <w:p>
      <w:pPr>
        <w:pStyle w:val="Heading1"/>
      </w:pPr>
      <w:r>
        <w:t>15. Records, reporting and metrics</w:t>
      </w:r>
    </w:p>
    <w:p>
      <w:r>
        <w:t>Maintain records according to approved retention, access, privacy, and records-management requirements. Management reporting should show portfolio exposure, critical suppliers, assessment currency, exceptions, incidents, remediation ageing, obligations, performance, and changes in risk.</w:t>
      </w:r>
    </w:p>
    <w:p>
      <w:pPr>
        <w:pStyle w:val="ListBullet"/>
      </w:pPr>
      <w:r>
        <w:t>Percentage of in-scope third parties inventoried/classified.</w:t>
      </w:r>
    </w:p>
    <w:p>
      <w:pPr>
        <w:pStyle w:val="ListBullet"/>
      </w:pPr>
      <w:r>
        <w:t>Percentage of critical/high-risk assessments completed and current.</w:t>
      </w:r>
    </w:p>
    <w:p>
      <w:pPr>
        <w:pStyle w:val="ListBullet"/>
      </w:pPr>
      <w:r>
        <w:t>Due diligence and approval cycle time.</w:t>
      </w:r>
    </w:p>
    <w:p>
      <w:pPr>
        <w:pStyle w:val="ListBullet"/>
      </w:pPr>
      <w:r>
        <w:t>Open critical/high findings and overdue remediation ageing.</w:t>
      </w:r>
    </w:p>
    <w:p>
      <w:pPr>
        <w:pStyle w:val="ListBullet"/>
      </w:pPr>
      <w:r>
        <w:t>Incidents and material changes by supplier tier.</w:t>
      </w:r>
    </w:p>
    <w:p>
      <w:pPr>
        <w:pStyle w:val="ListBullet"/>
      </w:pPr>
      <w:r>
        <w:t>Obligations, certifications, and insurance due or overdue.</w:t>
      </w:r>
    </w:p>
    <w:p>
      <w:pPr>
        <w:pStyle w:val="ListBullet"/>
      </w:pPr>
      <w:r>
        <w:t>Supplier KPI/SLA trends, breaches, and improvement progress.</w:t>
      </w:r>
    </w:p>
    <w:p>
      <w:pPr>
        <w:pStyle w:val="ListBullet"/>
      </w:pPr>
      <w:r>
        <w:t>Policy exceptions by type, owner, expiry, and status.</w:t>
      </w:r>
    </w:p>
    <w:p>
      <w:pPr>
        <w:pStyle w:val="Heading1"/>
      </w:pPr>
      <w:r>
        <w:t>16. Training and policy communication</w:t>
      </w:r>
    </w:p>
    <w:p>
      <w:r>
        <w:t>Provide role-appropriate training to procurement, relationship owners, assessors, risk/control functions, and approvers on intake, evidence, risk decisions, incident escalation, and exit. Communicate material policy changes to affected stakeholders and third parties where required.</w:t>
      </w:r>
    </w:p>
    <w:p>
      <w:pPr>
        <w:pStyle w:val="Heading1"/>
      </w:pPr>
      <w:r>
        <w:t>17. Compliance, exceptions and consequences</w:t>
      </w:r>
    </w:p>
    <w:p>
      <w:r>
        <w:t>Compliance is mandatory for in-scope relationships. Report suspected breaches through [reporting channel]. Handle internal non-compliance under established HR, risk, compliance, and governance processes. Address third-party non-compliance through relevant contract, incident, legal, and escalation procedures.</w:t>
      </w:r>
    </w:p>
    <w:p>
      <w:pPr>
        <w:pStyle w:val="Heading1"/>
      </w:pPr>
      <w:r>
        <w:t>18. Policy review and maintenance</w:t>
      </w:r>
    </w:p>
    <w:p>
      <w:r>
        <w:t>The policy owner reviews this policy at least [annually / defined interval] and after material changes to the risk profile, operations, legal/regulatory obligations, or TPRM framework. Changes follow document governance. Supporting standards, procedures, templates, and tier thresholds must be maintained consistently.</w:t>
      </w:r>
    </w:p>
    <w:p>
      <w:pPr>
        <w:pStyle w:val="Heading1"/>
      </w:pPr>
      <w:r>
        <w:t>Appendix A. Risk tiering and minimum oversight matrix</w:t>
      </w:r>
    </w:p>
    <w:tbl>
      <w:tblPr>
        <w:tblStyle w:val="LightShading-Accent1"/>
        <w:tblW w:type="auto" w:w="0"/>
        <w:jc w:val="center"/>
        <w:tblLook w:firstColumn="1" w:firstRow="1" w:lastColumn="0" w:lastRow="0" w:noHBand="0" w:noVBand="1" w:val="04A0"/>
      </w:tblPr>
      <w:tblGrid>
        <w:gridCol w:w="3360"/>
        <w:gridCol w:w="3360"/>
        <w:gridCol w:w="3360"/>
      </w:tblGrid>
      <w:tr>
        <w:tc>
          <w:tcPr>
            <w:tcW w:type="dxa" w:w="3360"/>
            <w:vAlign w:val="center"/>
            <w:shd w:fill="0069B8"/>
          </w:tcPr>
          <w:p>
            <w:r>
              <w:rPr>
                <w:b/>
                <w:color w:val="FFFFFF"/>
              </w:rPr>
              <w:t>Tier (customize)</w:t>
            </w:r>
          </w:p>
        </w:tc>
        <w:tc>
          <w:tcPr>
            <w:tcW w:type="dxa" w:w="3360"/>
            <w:vAlign w:val="center"/>
            <w:shd w:fill="0069B8"/>
          </w:tcPr>
          <w:p>
            <w:r>
              <w:rPr>
                <w:b/>
                <w:color w:val="FFFFFF"/>
              </w:rPr>
              <w:t>Illustrative characteristics</w:t>
            </w:r>
          </w:p>
        </w:tc>
        <w:tc>
          <w:tcPr>
            <w:tcW w:type="dxa" w:w="3360"/>
            <w:vAlign w:val="center"/>
            <w:shd w:fill="0069B8"/>
          </w:tcPr>
          <w:p>
            <w:r>
              <w:rPr>
                <w:b/>
                <w:color w:val="FFFFFF"/>
              </w:rPr>
              <w:t>Illustrative minimum treatment</w:t>
            </w:r>
          </w:p>
        </w:tc>
      </w:tr>
      <w:tr>
        <w:tc>
          <w:tcPr>
            <w:tcW w:type="dxa" w:w="3360"/>
            <w:vAlign w:val="center"/>
          </w:tcPr>
          <w:p>
            <w:r>
              <w:t>Critical</w:t>
            </w:r>
          </w:p>
        </w:tc>
        <w:tc>
          <w:tcPr>
            <w:tcW w:type="dxa" w:w="3360"/>
            <w:vAlign w:val="center"/>
          </w:tcPr>
          <w:p>
            <w:r>
              <w:t>Critical service; sensitive data/privileged access; major outage impact; elevated systemic or regulatory exposure.</w:t>
            </w:r>
          </w:p>
        </w:tc>
        <w:tc>
          <w:tcPr>
            <w:tcW w:type="dxa" w:w="3360"/>
            <w:vAlign w:val="center"/>
          </w:tcPr>
          <w:p>
            <w:r>
              <w:t>Enhanced due diligence; specialist reviews; senior approval; tightly defined monitoring; contingency and exit planning.</w:t>
            </w:r>
          </w:p>
        </w:tc>
      </w:tr>
      <w:tr>
        <w:tc>
          <w:tcPr>
            <w:tcW w:type="dxa" w:w="3360"/>
            <w:vAlign w:val="center"/>
          </w:tcPr>
          <w:p>
            <w:r>
              <w:t>High</w:t>
            </w:r>
          </w:p>
        </w:tc>
        <w:tc>
          <w:tcPr>
            <w:tcW w:type="dxa" w:w="3360"/>
            <w:vAlign w:val="center"/>
          </w:tcPr>
          <w:p>
            <w:r>
              <w:t>Significant operational dependency, material data access, regulated service, or complex subcontracting.</w:t>
            </w:r>
          </w:p>
        </w:tc>
        <w:tc>
          <w:tcPr>
            <w:tcW w:type="dxa" w:w="3360"/>
            <w:vAlign w:val="center"/>
          </w:tcPr>
          <w:p>
            <w:r>
              <w:t>Comprehensive due diligence; documented remediation; relevant contractual safeguards; more frequent monitoring.</w:t>
            </w:r>
          </w:p>
        </w:tc>
      </w:tr>
      <w:tr>
        <w:tc>
          <w:tcPr>
            <w:tcW w:type="dxa" w:w="3360"/>
            <w:vAlign w:val="center"/>
          </w:tcPr>
          <w:p>
            <w:r>
              <w:t>Moderate</w:t>
            </w:r>
          </w:p>
        </w:tc>
        <w:tc>
          <w:tcPr>
            <w:tcW w:type="dxa" w:w="3360"/>
            <w:vAlign w:val="center"/>
          </w:tcPr>
          <w:p>
            <w:r>
              <w:t>Meaningful service/data exposure but manageable substitutability and impact.</w:t>
            </w:r>
          </w:p>
        </w:tc>
        <w:tc>
          <w:tcPr>
            <w:tcW w:type="dxa" w:w="3360"/>
            <w:vAlign w:val="center"/>
          </w:tcPr>
          <w:p>
            <w:r>
              <w:t>Standard assessment across relevant domains; named owner; periodic review and issue tracking.</w:t>
            </w:r>
          </w:p>
        </w:tc>
      </w:tr>
      <w:tr>
        <w:tc>
          <w:tcPr>
            <w:tcW w:type="dxa" w:w="3360"/>
            <w:vAlign w:val="center"/>
          </w:tcPr>
          <w:p>
            <w:r>
              <w:t>Low</w:t>
            </w:r>
          </w:p>
        </w:tc>
        <w:tc>
          <w:tcPr>
            <w:tcW w:type="dxa" w:w="3360"/>
            <w:vAlign w:val="center"/>
          </w:tcPr>
          <w:p>
            <w:r>
              <w:t>Limited access/data, low business impact, readily replaceable.</w:t>
            </w:r>
          </w:p>
        </w:tc>
        <w:tc>
          <w:tcPr>
            <w:tcW w:type="dxa" w:w="3360"/>
            <w:vAlign w:val="center"/>
          </w:tcPr>
          <w:p>
            <w:r>
              <w:t>Proportionate screening and basic contractual/process controls; reassess if circumstances change.</w:t>
            </w:r>
          </w:p>
        </w:tc>
      </w:tr>
    </w:tbl>
    <w:p>
      <w:r>
        <w:t>These examples are not universal standards. Approve formal criteria, thresholds, required domains, and controls in supporting standards.</w:t>
      </w:r>
    </w:p>
    <w:p>
      <w:pPr>
        <w:pStyle w:val="Heading1"/>
      </w:pPr>
      <w:r>
        <w:t>Appendix B. RACI starter</w:t>
      </w:r>
    </w:p>
    <w:tbl>
      <w:tblPr>
        <w:tblStyle w:val="LightShading-Accent1"/>
        <w:tblW w:type="auto" w:w="0"/>
        <w:jc w:val="center"/>
        <w:tblLook w:firstColumn="1" w:firstRow="1" w:lastColumn="0" w:lastRow="0" w:noHBand="0" w:noVBand="1" w:val="04A0"/>
      </w:tblPr>
      <w:tblGrid>
        <w:gridCol w:w="1680"/>
        <w:gridCol w:w="1680"/>
        <w:gridCol w:w="1680"/>
        <w:gridCol w:w="1680"/>
        <w:gridCol w:w="1680"/>
        <w:gridCol w:w="1680"/>
      </w:tblGrid>
      <w:tr>
        <w:tc>
          <w:tcPr>
            <w:tcW w:type="dxa" w:w="1680"/>
            <w:vAlign w:val="center"/>
            <w:shd w:fill="0069B8"/>
          </w:tcPr>
          <w:p>
            <w:r>
              <w:rPr>
                <w:b/>
                <w:color w:val="FFFFFF"/>
              </w:rPr>
              <w:t>Activity</w:t>
            </w:r>
          </w:p>
        </w:tc>
        <w:tc>
          <w:tcPr>
            <w:tcW w:type="dxa" w:w="1680"/>
            <w:vAlign w:val="center"/>
            <w:shd w:fill="0069B8"/>
          </w:tcPr>
          <w:p>
            <w:r>
              <w:rPr>
                <w:b/>
                <w:color w:val="FFFFFF"/>
              </w:rPr>
              <w:t>Business owner</w:t>
            </w:r>
          </w:p>
        </w:tc>
        <w:tc>
          <w:tcPr>
            <w:tcW w:type="dxa" w:w="1680"/>
            <w:vAlign w:val="center"/>
            <w:shd w:fill="0069B8"/>
          </w:tcPr>
          <w:p>
            <w:r>
              <w:rPr>
                <w:b/>
                <w:color w:val="FFFFFF"/>
              </w:rPr>
              <w:t>TPRM / Risk</w:t>
            </w:r>
          </w:p>
        </w:tc>
        <w:tc>
          <w:tcPr>
            <w:tcW w:type="dxa" w:w="1680"/>
            <w:vAlign w:val="center"/>
            <w:shd w:fill="0069B8"/>
          </w:tcPr>
          <w:p>
            <w:r>
              <w:rPr>
                <w:b/>
                <w:color w:val="FFFFFF"/>
              </w:rPr>
              <w:t>Procurement</w:t>
            </w:r>
          </w:p>
        </w:tc>
        <w:tc>
          <w:tcPr>
            <w:tcW w:type="dxa" w:w="1680"/>
            <w:vAlign w:val="center"/>
            <w:shd w:fill="0069B8"/>
          </w:tcPr>
          <w:p>
            <w:r>
              <w:rPr>
                <w:b/>
                <w:color w:val="FFFFFF"/>
              </w:rPr>
              <w:t>Legal / control functions</w:t>
            </w:r>
          </w:p>
        </w:tc>
        <w:tc>
          <w:tcPr>
            <w:tcW w:type="dxa" w:w="1680"/>
            <w:vAlign w:val="center"/>
            <w:shd w:fill="0069B8"/>
          </w:tcPr>
          <w:p>
            <w:r>
              <w:rPr>
                <w:b/>
                <w:color w:val="FFFFFF"/>
              </w:rPr>
              <w:t>Senior approver</w:t>
            </w:r>
          </w:p>
        </w:tc>
      </w:tr>
      <w:tr>
        <w:tc>
          <w:tcPr>
            <w:tcW w:type="dxa" w:w="1680"/>
            <w:vAlign w:val="center"/>
          </w:tcPr>
          <w:p>
            <w:r>
              <w:t>Supplier intake and inventory</w:t>
            </w:r>
          </w:p>
        </w:tc>
        <w:tc>
          <w:tcPr>
            <w:tcW w:type="dxa" w:w="1680"/>
            <w:vAlign w:val="center"/>
          </w:tcPr>
          <w:p>
            <w:r>
              <w:t>A/R</w:t>
            </w:r>
          </w:p>
        </w:tc>
        <w:tc>
          <w:tcPr>
            <w:tcW w:type="dxa" w:w="1680"/>
            <w:vAlign w:val="center"/>
          </w:tcPr>
          <w:p>
            <w:r>
              <w:t>C</w:t>
            </w:r>
          </w:p>
        </w:tc>
        <w:tc>
          <w:tcPr>
            <w:tcW w:type="dxa" w:w="1680"/>
            <w:vAlign w:val="center"/>
          </w:tcPr>
          <w:p>
            <w:r>
              <w:t>R</w:t>
            </w:r>
          </w:p>
        </w:tc>
        <w:tc>
          <w:tcPr>
            <w:tcW w:type="dxa" w:w="1680"/>
            <w:vAlign w:val="center"/>
          </w:tcPr>
          <w:p>
            <w:r>
              <w:t>C</w:t>
            </w:r>
          </w:p>
        </w:tc>
        <w:tc>
          <w:tcPr>
            <w:tcW w:type="dxa" w:w="1680"/>
            <w:vAlign w:val="center"/>
          </w:tcPr>
          <w:p>
            <w:r>
              <w:t>I</w:t>
            </w:r>
          </w:p>
        </w:tc>
      </w:tr>
      <w:tr>
        <w:tc>
          <w:tcPr>
            <w:tcW w:type="dxa" w:w="1680"/>
            <w:vAlign w:val="center"/>
          </w:tcPr>
          <w:p>
            <w:r>
              <w:t>Risk tier and assessment</w:t>
            </w:r>
          </w:p>
        </w:tc>
        <w:tc>
          <w:tcPr>
            <w:tcW w:type="dxa" w:w="1680"/>
            <w:vAlign w:val="center"/>
          </w:tcPr>
          <w:p>
            <w:r>
              <w:t>C</w:t>
            </w:r>
          </w:p>
        </w:tc>
        <w:tc>
          <w:tcPr>
            <w:tcW w:type="dxa" w:w="1680"/>
            <w:vAlign w:val="center"/>
          </w:tcPr>
          <w:p>
            <w:r>
              <w:t>A/R</w:t>
            </w:r>
          </w:p>
        </w:tc>
        <w:tc>
          <w:tcPr>
            <w:tcW w:type="dxa" w:w="1680"/>
            <w:vAlign w:val="center"/>
          </w:tcPr>
          <w:p>
            <w:r>
              <w:t>C</w:t>
            </w:r>
          </w:p>
        </w:tc>
        <w:tc>
          <w:tcPr>
            <w:tcW w:type="dxa" w:w="1680"/>
            <w:vAlign w:val="center"/>
          </w:tcPr>
          <w:p>
            <w:r>
              <w:t>R/C</w:t>
            </w:r>
          </w:p>
        </w:tc>
        <w:tc>
          <w:tcPr>
            <w:tcW w:type="dxa" w:w="1680"/>
            <w:vAlign w:val="center"/>
          </w:tcPr>
          <w:p>
            <w:r>
              <w:t>I</w:t>
            </w:r>
          </w:p>
        </w:tc>
      </w:tr>
      <w:tr>
        <w:tc>
          <w:tcPr>
            <w:tcW w:type="dxa" w:w="1680"/>
            <w:vAlign w:val="center"/>
          </w:tcPr>
          <w:p>
            <w:r>
              <w:t>Contract review</w:t>
            </w:r>
          </w:p>
        </w:tc>
        <w:tc>
          <w:tcPr>
            <w:tcW w:type="dxa" w:w="1680"/>
            <w:vAlign w:val="center"/>
          </w:tcPr>
          <w:p>
            <w:r>
              <w:t>C</w:t>
            </w:r>
          </w:p>
        </w:tc>
        <w:tc>
          <w:tcPr>
            <w:tcW w:type="dxa" w:w="1680"/>
            <w:vAlign w:val="center"/>
          </w:tcPr>
          <w:p>
            <w:r>
              <w:t>C</w:t>
            </w:r>
          </w:p>
        </w:tc>
        <w:tc>
          <w:tcPr>
            <w:tcW w:type="dxa" w:w="1680"/>
            <w:vAlign w:val="center"/>
          </w:tcPr>
          <w:p>
            <w:r>
              <w:t>R</w:t>
            </w:r>
          </w:p>
        </w:tc>
        <w:tc>
          <w:tcPr>
            <w:tcW w:type="dxa" w:w="1680"/>
            <w:vAlign w:val="center"/>
          </w:tcPr>
          <w:p>
            <w:r>
              <w:t>A/R</w:t>
            </w:r>
          </w:p>
        </w:tc>
        <w:tc>
          <w:tcPr>
            <w:tcW w:type="dxa" w:w="1680"/>
            <w:vAlign w:val="center"/>
          </w:tcPr>
          <w:p>
            <w:r>
              <w:t>I</w:t>
            </w:r>
          </w:p>
        </w:tc>
      </w:tr>
      <w:tr>
        <w:tc>
          <w:tcPr>
            <w:tcW w:type="dxa" w:w="1680"/>
            <w:vAlign w:val="center"/>
          </w:tcPr>
          <w:p>
            <w:r>
              <w:t>Onboarding approval</w:t>
            </w:r>
          </w:p>
        </w:tc>
        <w:tc>
          <w:tcPr>
            <w:tcW w:type="dxa" w:w="1680"/>
            <w:vAlign w:val="center"/>
          </w:tcPr>
          <w:p>
            <w:r>
              <w:t>R</w:t>
            </w:r>
          </w:p>
        </w:tc>
        <w:tc>
          <w:tcPr>
            <w:tcW w:type="dxa" w:w="1680"/>
            <w:vAlign w:val="center"/>
          </w:tcPr>
          <w:p>
            <w:r>
              <w:t>R/C</w:t>
            </w:r>
          </w:p>
        </w:tc>
        <w:tc>
          <w:tcPr>
            <w:tcW w:type="dxa" w:w="1680"/>
            <w:vAlign w:val="center"/>
          </w:tcPr>
          <w:p>
            <w:r>
              <w:t>C</w:t>
            </w:r>
          </w:p>
        </w:tc>
        <w:tc>
          <w:tcPr>
            <w:tcW w:type="dxa" w:w="1680"/>
            <w:vAlign w:val="center"/>
          </w:tcPr>
          <w:p>
            <w:r>
              <w:t>C</w:t>
            </w:r>
          </w:p>
        </w:tc>
        <w:tc>
          <w:tcPr>
            <w:tcW w:type="dxa" w:w="1680"/>
            <w:vAlign w:val="center"/>
          </w:tcPr>
          <w:p>
            <w:r>
              <w:t>A*</w:t>
            </w:r>
          </w:p>
        </w:tc>
      </w:tr>
      <w:tr>
        <w:tc>
          <w:tcPr>
            <w:tcW w:type="dxa" w:w="1680"/>
            <w:vAlign w:val="center"/>
          </w:tcPr>
          <w:p>
            <w:r>
              <w:t>Ongoing monitoring</w:t>
            </w:r>
          </w:p>
        </w:tc>
        <w:tc>
          <w:tcPr>
            <w:tcW w:type="dxa" w:w="1680"/>
            <w:vAlign w:val="center"/>
          </w:tcPr>
          <w:p>
            <w:r>
              <w:t>A/R</w:t>
            </w:r>
          </w:p>
        </w:tc>
        <w:tc>
          <w:tcPr>
            <w:tcW w:type="dxa" w:w="1680"/>
            <w:vAlign w:val="center"/>
          </w:tcPr>
          <w:p>
            <w:r>
              <w:t>R/C</w:t>
            </w:r>
          </w:p>
        </w:tc>
        <w:tc>
          <w:tcPr>
            <w:tcW w:type="dxa" w:w="1680"/>
            <w:vAlign w:val="center"/>
          </w:tcPr>
          <w:p>
            <w:r>
              <w:t>C</w:t>
            </w:r>
          </w:p>
        </w:tc>
        <w:tc>
          <w:tcPr>
            <w:tcW w:type="dxa" w:w="1680"/>
            <w:vAlign w:val="center"/>
          </w:tcPr>
          <w:p>
            <w:r>
              <w:t>R/C</w:t>
            </w:r>
          </w:p>
        </w:tc>
        <w:tc>
          <w:tcPr>
            <w:tcW w:type="dxa" w:w="1680"/>
            <w:vAlign w:val="center"/>
          </w:tcPr>
          <w:p>
            <w:r>
              <w:t>I</w:t>
            </w:r>
          </w:p>
        </w:tc>
      </w:tr>
      <w:tr>
        <w:tc>
          <w:tcPr>
            <w:tcW w:type="dxa" w:w="1680"/>
            <w:vAlign w:val="center"/>
          </w:tcPr>
          <w:p>
            <w:r>
              <w:t>Risk exception acceptance</w:t>
            </w:r>
          </w:p>
        </w:tc>
        <w:tc>
          <w:tcPr>
            <w:tcW w:type="dxa" w:w="1680"/>
            <w:vAlign w:val="center"/>
          </w:tcPr>
          <w:p>
            <w:r>
              <w:t>R/C</w:t>
            </w:r>
          </w:p>
        </w:tc>
        <w:tc>
          <w:tcPr>
            <w:tcW w:type="dxa" w:w="1680"/>
            <w:vAlign w:val="center"/>
          </w:tcPr>
          <w:p>
            <w:r>
              <w:t>R/C</w:t>
            </w:r>
          </w:p>
        </w:tc>
        <w:tc>
          <w:tcPr>
            <w:tcW w:type="dxa" w:w="1680"/>
            <w:vAlign w:val="center"/>
          </w:tcPr>
          <w:p>
            <w:r>
              <w:t>I</w:t>
            </w:r>
          </w:p>
        </w:tc>
        <w:tc>
          <w:tcPr>
            <w:tcW w:type="dxa" w:w="1680"/>
            <w:vAlign w:val="center"/>
          </w:tcPr>
          <w:p>
            <w:r>
              <w:t>C</w:t>
            </w:r>
          </w:p>
        </w:tc>
        <w:tc>
          <w:tcPr>
            <w:tcW w:type="dxa" w:w="1680"/>
            <w:vAlign w:val="center"/>
          </w:tcPr>
          <w:p>
            <w:r>
              <w:t>A*</w:t>
            </w:r>
          </w:p>
        </w:tc>
      </w:tr>
      <w:tr>
        <w:tc>
          <w:tcPr>
            <w:tcW w:type="dxa" w:w="1680"/>
            <w:vAlign w:val="center"/>
          </w:tcPr>
          <w:p>
            <w:r>
              <w:t>Exit and access removal</w:t>
            </w:r>
          </w:p>
        </w:tc>
        <w:tc>
          <w:tcPr>
            <w:tcW w:type="dxa" w:w="1680"/>
            <w:vAlign w:val="center"/>
          </w:tcPr>
          <w:p>
            <w:r>
              <w:t>A/R</w:t>
            </w:r>
          </w:p>
        </w:tc>
        <w:tc>
          <w:tcPr>
            <w:tcW w:type="dxa" w:w="1680"/>
            <w:vAlign w:val="center"/>
          </w:tcPr>
          <w:p>
            <w:r>
              <w:t>C</w:t>
            </w:r>
          </w:p>
        </w:tc>
        <w:tc>
          <w:tcPr>
            <w:tcW w:type="dxa" w:w="1680"/>
            <w:vAlign w:val="center"/>
          </w:tcPr>
          <w:p>
            <w:r>
              <w:t>R</w:t>
            </w:r>
          </w:p>
        </w:tc>
        <w:tc>
          <w:tcPr>
            <w:tcW w:type="dxa" w:w="1680"/>
            <w:vAlign w:val="center"/>
          </w:tcPr>
          <w:p>
            <w:r>
              <w:t>R/C</w:t>
            </w:r>
          </w:p>
        </w:tc>
        <w:tc>
          <w:tcPr>
            <w:tcW w:type="dxa" w:w="1680"/>
            <w:vAlign w:val="center"/>
          </w:tcPr>
          <w:p>
            <w:r>
              <w:t>I</w:t>
            </w:r>
          </w:p>
        </w:tc>
      </w:tr>
    </w:tbl>
    <w:p>
      <w:r>
        <w:t>A = Accountable; R = Responsible; C = Consulted; I = Informed. *Approval authority depends on tier and delegated authority.</w:t>
      </w:r>
    </w:p>
    <w:p>
      <w:pPr>
        <w:pStyle w:val="Heading1"/>
      </w:pPr>
      <w:r>
        <w:t>Appendix C. Supporting operating artifacts</w:t>
      </w:r>
    </w:p>
    <w:p>
      <w:pPr>
        <w:pStyle w:val="ListBullet"/>
      </w:pPr>
      <w:r>
        <w:t>Third-party intake and inventory standard</w:t>
      </w:r>
    </w:p>
    <w:p>
      <w:pPr>
        <w:pStyle w:val="ListBullet"/>
      </w:pPr>
      <w:r>
        <w:t>Risk tiering and assessment methodology</w:t>
      </w:r>
    </w:p>
    <w:p>
      <w:pPr>
        <w:pStyle w:val="ListBullet"/>
      </w:pPr>
      <w:r>
        <w:t>Vendor screening and due diligence procedure</w:t>
      </w:r>
    </w:p>
    <w:p>
      <w:pPr>
        <w:pStyle w:val="ListBullet"/>
      </w:pPr>
      <w:r>
        <w:t>Evidence standards and retention schedule</w:t>
      </w:r>
    </w:p>
    <w:p>
      <w:pPr>
        <w:pStyle w:val="ListBullet"/>
      </w:pPr>
      <w:r>
        <w:t>Contract clause standards and obligations register</w:t>
      </w:r>
    </w:p>
    <w:p>
      <w:pPr>
        <w:pStyle w:val="ListBullet"/>
      </w:pPr>
      <w:r>
        <w:t>Supplier scorecard / SLA / KPI framework</w:t>
      </w:r>
    </w:p>
    <w:p>
      <w:pPr>
        <w:pStyle w:val="ListBullet"/>
      </w:pPr>
      <w:r>
        <w:t>Continuous monitoring and event escalation procedure</w:t>
      </w:r>
    </w:p>
    <w:p>
      <w:pPr>
        <w:pStyle w:val="ListBullet"/>
      </w:pPr>
      <w:r>
        <w:t>Issue, incident, remediation and risk acceptance registers</w:t>
      </w:r>
    </w:p>
    <w:p>
      <w:pPr>
        <w:pStyle w:val="ListBullet"/>
      </w:pPr>
      <w:r>
        <w:t>Vendor renewal, termination and exit checklist</w:t>
      </w:r>
    </w:p>
    <w:p>
      <w:pPr>
        <w:pStyle w:val="ListBullet"/>
      </w:pPr>
      <w:r>
        <w:t>TPRM dashboard and management reporting pack</w:t>
      </w:r>
    </w:p>
    <w:p>
      <w:pPr>
        <w:pStyle w:val="Heading1"/>
      </w:pPr>
      <w:r>
        <w:t>Source notes and adaptation guidance</w:t>
      </w:r>
    </w:p>
    <w:p>
      <w:r>
        <w:t>Enlighta knowledge-base alignment: Enlighta Continuous TPRM and Strategic Vendor Governance – April 2026; Continuous third-party risk management: Advanced tools, AI, automation and analytics in solving real-world challenges; Enlighta Strategic Vendor Governance – November 2025; and Beyond SLAs: The Role of Obligations Management for Vendor Contracts.</w:t>
      </w:r>
    </w:p>
    <w:p>
      <w:r>
        <w:t>External reference: NIST SP 800-161 Rev. 1 Update 1, Cybersecurity Supply Chain Risk Management Practices for Systems and Organizations (final update published November 1, 2024): https://csrc.nist.gov/pubs/sp/800/161/r1/upd1/final. Use as a reference where relevant; it is not a universal legal requirement for every organization.</w:t>
      </w:r>
    </w:p>
    <w:p>
      <w:r>
        <w:t>Disclaimer: This is a general-purpose model framework, not legal advice, a compliance certification, or an official Enlighta product export. Tailor it to applicable laws, contracts, risk appetite, and internal governance, and obtain appropriate review and approval before adoption.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344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69B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69B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